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EB65" w14:textId="0F2FF167" w:rsidR="00755BDA" w:rsidRDefault="00755BDA" w:rsidP="00755BDA">
      <w:pPr>
        <w:jc w:val="center"/>
      </w:pPr>
      <w:r>
        <w:t>Name of Policy Holder</w:t>
      </w:r>
    </w:p>
    <w:p w14:paraId="3D4CAFF8" w14:textId="4263E527" w:rsidR="00755BDA" w:rsidRDefault="00755BDA" w:rsidP="00755BDA">
      <w:pPr>
        <w:jc w:val="center"/>
      </w:pPr>
      <w:r>
        <w:t>Mailing Address</w:t>
      </w:r>
    </w:p>
    <w:p w14:paraId="43BF4C3F" w14:textId="2D1C5D12" w:rsidR="00755BDA" w:rsidRDefault="00755BDA" w:rsidP="00755BDA">
      <w:pPr>
        <w:jc w:val="center"/>
      </w:pPr>
      <w:r>
        <w:t>Phone:</w:t>
      </w:r>
    </w:p>
    <w:p w14:paraId="68A93F94" w14:textId="26347D3C" w:rsidR="00755BDA" w:rsidRDefault="00755BDA" w:rsidP="00755BDA">
      <w:pPr>
        <w:jc w:val="center"/>
      </w:pPr>
      <w:r>
        <w:t>Email:</w:t>
      </w:r>
    </w:p>
    <w:p w14:paraId="1B5C072F" w14:textId="77777777" w:rsidR="00755BDA" w:rsidRDefault="00755BDA"/>
    <w:p w14:paraId="05FF8B9D" w14:textId="39123088" w:rsidR="00755BDA" w:rsidRDefault="00755BDA"/>
    <w:p w14:paraId="09DC997E" w14:textId="698ED1A6" w:rsidR="002F5F1E" w:rsidRDefault="002F5F1E" w:rsidP="002F5F1E">
      <w:pPr>
        <w:jc w:val="right"/>
      </w:pPr>
      <w:r>
        <w:t>Date</w:t>
      </w:r>
    </w:p>
    <w:p w14:paraId="270DCC89" w14:textId="68692936" w:rsidR="002F5F1E" w:rsidRDefault="002F5F1E" w:rsidP="002F5F1E"/>
    <w:p w14:paraId="255EE871" w14:textId="77777777" w:rsidR="002F5F1E" w:rsidRDefault="002F5F1E" w:rsidP="002F5F1E"/>
    <w:p w14:paraId="74CE815D" w14:textId="0879C7BB" w:rsidR="002F5F1E" w:rsidRDefault="002F5F1E" w:rsidP="002F5F1E">
      <w:r>
        <w:t>Name of Title Insurance Company</w:t>
      </w:r>
    </w:p>
    <w:p w14:paraId="318ACDF1" w14:textId="39896EB7" w:rsidR="002F5F1E" w:rsidRDefault="002F5F1E" w:rsidP="002F5F1E">
      <w:r>
        <w:t>Mailing Address</w:t>
      </w:r>
    </w:p>
    <w:p w14:paraId="6AE9969D" w14:textId="77777777" w:rsidR="00755BDA" w:rsidRDefault="00755BDA"/>
    <w:p w14:paraId="3C8E3D80" w14:textId="379BB132" w:rsidR="008B24F1" w:rsidRDefault="008B24F1">
      <w:r>
        <w:t>Re:  Owner’s Title Insurance Notice</w:t>
      </w:r>
      <w:r w:rsidR="00755BDA">
        <w:t xml:space="preserve"> of Claim</w:t>
      </w:r>
    </w:p>
    <w:p w14:paraId="478FB4B1" w14:textId="77777777" w:rsidR="008B24F1" w:rsidRDefault="008B24F1"/>
    <w:p w14:paraId="67436740" w14:textId="37DA2A26" w:rsidR="00CA52C6" w:rsidRDefault="00DB2FAE">
      <w:r>
        <w:t>To Whom It May Concern:</w:t>
      </w:r>
    </w:p>
    <w:p w14:paraId="7F5D0C5A" w14:textId="2FAFCDE2" w:rsidR="00DB2FAE" w:rsidRDefault="00DB2FAE"/>
    <w:p w14:paraId="17CE7EE8" w14:textId="11FE7674" w:rsidR="00AF5F8A" w:rsidRDefault="00AF5F8A" w:rsidP="00AF5F8A">
      <w:r>
        <w:t>In accordance with [</w:t>
      </w:r>
      <w:r w:rsidRPr="00AF5F8A">
        <w:rPr>
          <w:i/>
          <w:iCs/>
        </w:rPr>
        <w:t xml:space="preserve">insert </w:t>
      </w:r>
      <w:r w:rsidRPr="006B1439">
        <w:t>my</w:t>
      </w:r>
      <w:r w:rsidRPr="00AF5F8A">
        <w:rPr>
          <w:i/>
          <w:iCs/>
        </w:rPr>
        <w:t xml:space="preserve"> or </w:t>
      </w:r>
      <w:r w:rsidRPr="006B1439">
        <w:t>our</w:t>
      </w:r>
      <w:r>
        <w:t>] owner’s title insurance policy</w:t>
      </w:r>
      <w:r w:rsidR="00A95484">
        <w:t xml:space="preserve">, </w:t>
      </w:r>
      <w:r w:rsidR="002F5F1E">
        <w:t>[</w:t>
      </w:r>
      <w:r w:rsidR="002F5F1E" w:rsidRPr="002F5F1E">
        <w:rPr>
          <w:i/>
          <w:iCs/>
        </w:rPr>
        <w:t xml:space="preserve">insert </w:t>
      </w:r>
      <w:r w:rsidR="00DB2FAE" w:rsidRPr="006B1439">
        <w:t>I</w:t>
      </w:r>
      <w:r w:rsidR="002F5F1E" w:rsidRPr="006B1439">
        <w:t xml:space="preserve"> </w:t>
      </w:r>
      <w:proofErr w:type="gramStart"/>
      <w:r w:rsidR="002F5F1E" w:rsidRPr="006B1439">
        <w:t>am</w:t>
      </w:r>
      <w:proofErr w:type="gramEnd"/>
      <w:r w:rsidR="002F5F1E" w:rsidRPr="002F5F1E">
        <w:rPr>
          <w:i/>
          <w:iCs/>
        </w:rPr>
        <w:t xml:space="preserve"> or </w:t>
      </w:r>
      <w:r w:rsidRPr="006B1439">
        <w:t>w</w:t>
      </w:r>
      <w:r w:rsidR="002F5F1E" w:rsidRPr="006B1439">
        <w:t>e are</w:t>
      </w:r>
      <w:r w:rsidR="002F5F1E">
        <w:t>]</w:t>
      </w:r>
      <w:r w:rsidR="00DB2FAE">
        <w:t xml:space="preserve"> filing a </w:t>
      </w:r>
      <w:r>
        <w:t xml:space="preserve">notice of </w:t>
      </w:r>
      <w:r w:rsidR="00DB2FAE">
        <w:t xml:space="preserve">claim under owner’s title insurance policy no. </w:t>
      </w:r>
      <w:r w:rsidR="00755BDA">
        <w:t>[</w:t>
      </w:r>
      <w:r w:rsidR="00755BDA" w:rsidRPr="00755BDA">
        <w:rPr>
          <w:i/>
          <w:iCs/>
        </w:rPr>
        <w:t>insert policy number and name of title insurance company</w:t>
      </w:r>
      <w:r w:rsidR="00755BDA">
        <w:t>]</w:t>
      </w:r>
      <w:r>
        <w:t>.</w:t>
      </w:r>
      <w:r w:rsidR="00DB2FAE">
        <w:t xml:space="preserve"> </w:t>
      </w:r>
    </w:p>
    <w:p w14:paraId="302A2B44" w14:textId="77777777" w:rsidR="00AF5F8A" w:rsidRDefault="00AF5F8A" w:rsidP="00AF5F8A"/>
    <w:p w14:paraId="352459FB" w14:textId="3205D4D3" w:rsidR="00A95484" w:rsidRDefault="007B71D7" w:rsidP="00AF5F8A">
      <w:r>
        <w:t>Based on the following information that</w:t>
      </w:r>
      <w:r w:rsidR="00614920">
        <w:t xml:space="preserve"> has come to </w:t>
      </w:r>
      <w:r w:rsidR="00755BDA">
        <w:t>[</w:t>
      </w:r>
      <w:r w:rsidR="00755BDA" w:rsidRPr="00755BDA">
        <w:rPr>
          <w:i/>
          <w:iCs/>
        </w:rPr>
        <w:t xml:space="preserve">insert </w:t>
      </w:r>
      <w:r w:rsidR="003C285E" w:rsidRPr="006B1439">
        <w:t>my</w:t>
      </w:r>
      <w:r w:rsidR="00755BDA" w:rsidRPr="00755BDA">
        <w:rPr>
          <w:i/>
          <w:iCs/>
        </w:rPr>
        <w:t xml:space="preserve"> or </w:t>
      </w:r>
      <w:r w:rsidR="00755BDA" w:rsidRPr="006B1439">
        <w:t>our</w:t>
      </w:r>
      <w:r w:rsidR="00755BDA">
        <w:t>]</w:t>
      </w:r>
      <w:r w:rsidR="003C285E">
        <w:t xml:space="preserve"> attention</w:t>
      </w:r>
      <w:r>
        <w:t>,</w:t>
      </w:r>
      <w:r w:rsidR="00614920">
        <w:t xml:space="preserve"> </w:t>
      </w:r>
      <w:r w:rsidR="00755BDA">
        <w:t>[</w:t>
      </w:r>
      <w:r w:rsidR="00755BDA" w:rsidRPr="00755BDA">
        <w:rPr>
          <w:i/>
          <w:iCs/>
        </w:rPr>
        <w:t xml:space="preserve">insert </w:t>
      </w:r>
      <w:r w:rsidR="00614920" w:rsidRPr="006B1439">
        <w:t>I</w:t>
      </w:r>
      <w:r w:rsidR="00755BDA" w:rsidRPr="00755BDA">
        <w:rPr>
          <w:i/>
          <w:iCs/>
        </w:rPr>
        <w:t xml:space="preserve"> or </w:t>
      </w:r>
      <w:r w:rsidR="00755BDA" w:rsidRPr="006B1439">
        <w:t>we</w:t>
      </w:r>
      <w:r w:rsidR="00755BDA">
        <w:t>]</w:t>
      </w:r>
      <w:r w:rsidR="00614920">
        <w:t xml:space="preserve"> </w:t>
      </w:r>
      <w:r>
        <w:t xml:space="preserve">appear to </w:t>
      </w:r>
      <w:r w:rsidR="00614920">
        <w:t>have a</w:t>
      </w:r>
      <w:r w:rsidR="00DB2FAE">
        <w:t xml:space="preserve"> defect </w:t>
      </w:r>
      <w:r w:rsidR="00DF6922">
        <w:t>and loss of</w:t>
      </w:r>
      <w:r w:rsidR="00DB2FAE">
        <w:t xml:space="preserve"> title </w:t>
      </w:r>
      <w:r>
        <w:t>because</w:t>
      </w:r>
      <w:r w:rsidR="00614920">
        <w:t xml:space="preserve"> of</w:t>
      </w:r>
      <w:r w:rsidR="00DB2FAE">
        <w:t xml:space="preserve"> the unlawful overthrow of the government of the Hawaiian Kingdom by the United States on January 17, 1893</w:t>
      </w:r>
      <w:r w:rsidR="00BD1C53">
        <w:t xml:space="preserve">, and the restoration of the government, by a Regency, on February </w:t>
      </w:r>
      <w:r w:rsidR="00586F07">
        <w:t>28</w:t>
      </w:r>
      <w:r w:rsidR="00BD1C53">
        <w:t>, 1997</w:t>
      </w:r>
      <w:r w:rsidR="00DB2FAE">
        <w:t>.</w:t>
      </w:r>
      <w:r w:rsidR="006B1439">
        <w:rPr>
          <w:rStyle w:val="FootnoteReference"/>
        </w:rPr>
        <w:footnoteReference w:id="1"/>
      </w:r>
      <w:r w:rsidR="00614920">
        <w:t xml:space="preserve"> </w:t>
      </w:r>
    </w:p>
    <w:p w14:paraId="6F6B9DF0" w14:textId="77777777" w:rsidR="00A95484" w:rsidRDefault="00A95484" w:rsidP="00AF5F8A"/>
    <w:p w14:paraId="067A343E" w14:textId="0B64BEB5" w:rsidR="00DB2FAE" w:rsidRDefault="00A95484" w:rsidP="00AF5F8A">
      <w:r>
        <w:t>International law distinguishes between the State and the government representing the State.</w:t>
      </w:r>
      <w:r>
        <w:rPr>
          <w:rStyle w:val="FootnoteReference"/>
        </w:rPr>
        <w:footnoteReference w:id="2"/>
      </w:r>
      <w:r w:rsidR="00843FED">
        <w:t xml:space="preserve"> What was unlawfully overthrown by the United States on January 17, 1893, was the government of the Hawaiian Kingdom, but not the Hawaiian Kingdom as a State together with its laws that regulate the conveyance of real property. </w:t>
      </w:r>
      <w:r w:rsidR="003C285E">
        <w:t>The i</w:t>
      </w:r>
      <w:r w:rsidR="00614920">
        <w:t xml:space="preserve">nformation </w:t>
      </w:r>
      <w:r w:rsidR="003C285E">
        <w:t>whereby</w:t>
      </w:r>
      <w:r w:rsidR="00614920">
        <w:t xml:space="preserve"> </w:t>
      </w:r>
      <w:r w:rsidR="002F5F1E">
        <w:t>[</w:t>
      </w:r>
      <w:r w:rsidR="002F5F1E" w:rsidRPr="002F5F1E">
        <w:rPr>
          <w:i/>
          <w:iCs/>
        </w:rPr>
        <w:t xml:space="preserve">insert </w:t>
      </w:r>
      <w:r w:rsidR="00614920" w:rsidRPr="006B1439">
        <w:t>I</w:t>
      </w:r>
      <w:r w:rsidR="00614920" w:rsidRPr="002F5F1E">
        <w:rPr>
          <w:i/>
          <w:iCs/>
        </w:rPr>
        <w:t xml:space="preserve"> </w:t>
      </w:r>
      <w:r w:rsidR="002F5F1E" w:rsidRPr="002F5F1E">
        <w:rPr>
          <w:i/>
          <w:iCs/>
        </w:rPr>
        <w:t xml:space="preserve">or </w:t>
      </w:r>
      <w:r w:rsidR="002F5F1E" w:rsidRPr="006B1439">
        <w:t>we</w:t>
      </w:r>
      <w:r w:rsidR="002F5F1E">
        <w:t xml:space="preserve">] </w:t>
      </w:r>
      <w:r w:rsidR="00614920">
        <w:t xml:space="preserve">became aware of a defect </w:t>
      </w:r>
      <w:r w:rsidR="00843FED">
        <w:t xml:space="preserve">and loss of title </w:t>
      </w:r>
      <w:r w:rsidR="00614920">
        <w:t>include:</w:t>
      </w:r>
    </w:p>
    <w:p w14:paraId="65CF28A1" w14:textId="5756A3AB" w:rsidR="00614920" w:rsidRDefault="00614920"/>
    <w:p w14:paraId="130FBD82" w14:textId="183B1EA9" w:rsidR="00302EA4" w:rsidRDefault="00302EA4" w:rsidP="00302EA4">
      <w:pPr>
        <w:pStyle w:val="ListParagraph"/>
        <w:numPr>
          <w:ilvl w:val="0"/>
          <w:numId w:val="1"/>
        </w:numPr>
      </w:pPr>
      <w:r>
        <w:t xml:space="preserve">Royal Commission of Inquiry, </w:t>
      </w:r>
      <w:r w:rsidRPr="00B56E17">
        <w:rPr>
          <w:i/>
          <w:iCs/>
        </w:rPr>
        <w:t>Preliminary Report—Legal Status of Land Titles throughout the Realm</w:t>
      </w:r>
      <w:r>
        <w:t xml:space="preserve"> (July 16, 2020) (online at: </w:t>
      </w:r>
      <w:hyperlink r:id="rId7" w:history="1">
        <w:r w:rsidRPr="007B0E40">
          <w:rPr>
            <w:rStyle w:val="Hyperlink"/>
          </w:rPr>
          <w:t>https://hawaiiankingdom.org/pdf/RCI_Preliminary_Report_Land_Titles.pdf</w:t>
        </w:r>
      </w:hyperlink>
      <w:r>
        <w:t xml:space="preserve">); </w:t>
      </w:r>
    </w:p>
    <w:p w14:paraId="31D1C8A3" w14:textId="2B8E7448" w:rsidR="00614920" w:rsidRDefault="00614920" w:rsidP="00614920">
      <w:pPr>
        <w:pStyle w:val="ListParagraph"/>
        <w:numPr>
          <w:ilvl w:val="0"/>
          <w:numId w:val="1"/>
        </w:numPr>
      </w:pPr>
      <w:r>
        <w:t xml:space="preserve">Royal Commission of Inquiry, </w:t>
      </w:r>
      <w:r w:rsidRPr="00B56E17">
        <w:rPr>
          <w:i/>
          <w:iCs/>
        </w:rPr>
        <w:t>Supplemental Report—Title Insurance</w:t>
      </w:r>
      <w:r w:rsidR="00B56E17">
        <w:t xml:space="preserve"> (October 28, 2020) (online at: </w:t>
      </w:r>
      <w:hyperlink r:id="rId8" w:history="1">
        <w:r w:rsidR="008B24F1" w:rsidRPr="007B0E40">
          <w:rPr>
            <w:rStyle w:val="Hyperlink"/>
          </w:rPr>
          <w:t>https://hawaiiankingdom.org/pdf/RCI_Supp_Report_Title_Insurance.pdf</w:t>
        </w:r>
      </w:hyperlink>
      <w:r w:rsidR="00B56E17">
        <w:t>)</w:t>
      </w:r>
      <w:r w:rsidR="008B24F1">
        <w:t>;</w:t>
      </w:r>
    </w:p>
    <w:p w14:paraId="4050F513" w14:textId="634A2453" w:rsidR="004663C7" w:rsidRDefault="004663C7" w:rsidP="00614920">
      <w:pPr>
        <w:pStyle w:val="ListParagraph"/>
        <w:numPr>
          <w:ilvl w:val="0"/>
          <w:numId w:val="1"/>
        </w:numPr>
      </w:pPr>
      <w:r>
        <w:t xml:space="preserve">Royal Commission of Inquiry, Letter to Bill </w:t>
      </w:r>
      <w:proofErr w:type="spellStart"/>
      <w:r>
        <w:t>Burding</w:t>
      </w:r>
      <w:proofErr w:type="spellEnd"/>
      <w:r>
        <w:t xml:space="preserve">, President-Elect, ALTA Board of Directors (July 20, 2020) (online at: </w:t>
      </w:r>
      <w:hyperlink r:id="rId9" w:history="1">
        <w:r w:rsidRPr="0005707F">
          <w:rPr>
            <w:rStyle w:val="Hyperlink"/>
          </w:rPr>
          <w:t>https://hawaiiankingdom.org/pdf/RCI_Ltr_to_ALTA_(7.20.20).pdf</w:t>
        </w:r>
      </w:hyperlink>
      <w:r>
        <w:t xml:space="preserve">). </w:t>
      </w:r>
    </w:p>
    <w:p w14:paraId="2E606676" w14:textId="17D0BD90" w:rsidR="00853E8A" w:rsidRDefault="00853E8A" w:rsidP="00614920">
      <w:pPr>
        <w:pStyle w:val="ListParagraph"/>
        <w:numPr>
          <w:ilvl w:val="0"/>
          <w:numId w:val="1"/>
        </w:numPr>
      </w:pPr>
      <w:r>
        <w:t xml:space="preserve">Royal Commission of Inquiry, </w:t>
      </w:r>
      <w:r w:rsidRPr="00853E8A">
        <w:rPr>
          <w:i/>
          <w:iCs/>
        </w:rPr>
        <w:t>Preliminary Report</w:t>
      </w:r>
      <w:r>
        <w:t xml:space="preserve">—The </w:t>
      </w:r>
      <w:r w:rsidRPr="00853E8A">
        <w:rPr>
          <w:i/>
          <w:iCs/>
        </w:rPr>
        <w:t>Lorenzo</w:t>
      </w:r>
      <w:r>
        <w:t xml:space="preserve"> </w:t>
      </w:r>
      <w:r w:rsidR="00302EA4">
        <w:t>doctrine</w:t>
      </w:r>
      <w:r>
        <w:t xml:space="preserve"> on the Continuity of the Hawaiian Kingdom as a State (June </w:t>
      </w:r>
      <w:r w:rsidR="00302EA4">
        <w:t>7</w:t>
      </w:r>
      <w:r>
        <w:t>, 2022) (online at:</w:t>
      </w:r>
      <w:r w:rsidR="00302EA4" w:rsidRPr="00302EA4">
        <w:t xml:space="preserve"> </w:t>
      </w:r>
      <w:hyperlink r:id="rId10" w:history="1">
        <w:r w:rsidR="00302EA4" w:rsidRPr="00783E96">
          <w:rPr>
            <w:rStyle w:val="Hyperlink"/>
          </w:rPr>
          <w:t>https://hawaiiankingdom.org/pdf/RCI_Preliminary_Report_Lorenzo_Doctrine.pdf</w:t>
        </w:r>
      </w:hyperlink>
      <w:r>
        <w:t>).</w:t>
      </w:r>
      <w:r w:rsidR="00302EA4">
        <w:t xml:space="preserve"> </w:t>
      </w:r>
    </w:p>
    <w:p w14:paraId="4BCE9B2B" w14:textId="7159372F" w:rsidR="007B71D7" w:rsidRDefault="007B71D7" w:rsidP="007B71D7"/>
    <w:p w14:paraId="7BFC31AA" w14:textId="09B35B24" w:rsidR="0022058D" w:rsidRDefault="0022058D" w:rsidP="007B71D7">
      <w:r>
        <w:t xml:space="preserve">Proof of loss is the Council of Regency’s </w:t>
      </w:r>
      <w:r w:rsidRPr="0022058D">
        <w:rPr>
          <w:i/>
          <w:iCs/>
        </w:rPr>
        <w:t>Proclamation—Reclaiming Sovereignty and Titles to Real Estate Invalid</w:t>
      </w:r>
      <w:r>
        <w:t xml:space="preserve"> (August 21, 2013) (online at: </w:t>
      </w:r>
      <w:hyperlink r:id="rId11" w:history="1">
        <w:r w:rsidRPr="007B0E40">
          <w:rPr>
            <w:rStyle w:val="Hyperlink"/>
          </w:rPr>
          <w:t>https://hawaiiankingdom.org/pdf/Proc_Reclaiming_Sovereignty.pdf</w:t>
        </w:r>
      </w:hyperlink>
      <w:r>
        <w:t>), which states:</w:t>
      </w:r>
    </w:p>
    <w:p w14:paraId="64E021E7" w14:textId="5721B370" w:rsidR="0022058D" w:rsidRDefault="0022058D" w:rsidP="007B71D7"/>
    <w:p w14:paraId="42EDA81A" w14:textId="489792EE" w:rsidR="0022058D" w:rsidRPr="00D32DBB" w:rsidRDefault="0022058D" w:rsidP="0022058D">
      <w:pPr>
        <w:pStyle w:val="ListParagraph"/>
        <w:numPr>
          <w:ilvl w:val="0"/>
          <w:numId w:val="2"/>
        </w:numPr>
        <w:ind w:left="1080" w:right="720"/>
        <w:rPr>
          <w:sz w:val="22"/>
          <w:szCs w:val="22"/>
        </w:rPr>
      </w:pPr>
      <w:r w:rsidRPr="00D32DBB">
        <w:rPr>
          <w:sz w:val="22"/>
          <w:szCs w:val="22"/>
        </w:rPr>
        <w:t xml:space="preserve">The laws are obligatory upon all persons, whether subjects of this kingdom, or citizens or subjects of any foreign State, while within the limits of this kingdom, except so far as exception is made by the laws of nations in respect to Ambassadors or others. The property of all such persons, while such property is within the territorial jurisdiction of this kingdom, is also subject to the laws (§6, Civil Code). The Hawaiian Civil Code, Penal Code and 1884 and 1886 Session laws can be accessed online at </w:t>
      </w:r>
      <w:hyperlink r:id="rId12" w:history="1">
        <w:r w:rsidR="005C7B4D" w:rsidRPr="00D32DBB">
          <w:rPr>
            <w:rStyle w:val="Hyperlink"/>
            <w:sz w:val="22"/>
            <w:szCs w:val="22"/>
          </w:rPr>
          <w:t>https://hawaiiankingdom.org/constitutional-history.shtml</w:t>
        </w:r>
      </w:hyperlink>
      <w:r w:rsidR="005C7B4D" w:rsidRPr="00D32DBB">
        <w:rPr>
          <w:sz w:val="22"/>
          <w:szCs w:val="22"/>
        </w:rPr>
        <w:t xml:space="preserve">. </w:t>
      </w:r>
    </w:p>
    <w:p w14:paraId="79EC9364" w14:textId="77777777" w:rsidR="005C7B4D" w:rsidRPr="00D32DBB" w:rsidRDefault="005C7B4D" w:rsidP="005C7B4D">
      <w:pPr>
        <w:ind w:right="720"/>
        <w:rPr>
          <w:sz w:val="22"/>
          <w:szCs w:val="22"/>
        </w:rPr>
      </w:pPr>
    </w:p>
    <w:p w14:paraId="05CD6471" w14:textId="6F438857" w:rsidR="005C7B4D" w:rsidRPr="00D32DBB" w:rsidRDefault="005C7B4D" w:rsidP="0022058D">
      <w:pPr>
        <w:pStyle w:val="ListParagraph"/>
        <w:numPr>
          <w:ilvl w:val="0"/>
          <w:numId w:val="2"/>
        </w:numPr>
        <w:ind w:left="1080" w:right="720"/>
        <w:rPr>
          <w:sz w:val="22"/>
          <w:szCs w:val="22"/>
        </w:rPr>
      </w:pPr>
      <w:r w:rsidRPr="00D32DBB">
        <w:rPr>
          <w:sz w:val="22"/>
          <w:szCs w:val="22"/>
        </w:rPr>
        <w:t xml:space="preserve">The </w:t>
      </w:r>
      <w:r w:rsidRPr="00D32DBB">
        <w:rPr>
          <w:i/>
          <w:iCs/>
          <w:sz w:val="22"/>
          <w:szCs w:val="22"/>
        </w:rPr>
        <w:t>acting</w:t>
      </w:r>
      <w:r w:rsidRPr="00D32DBB">
        <w:rPr>
          <w:sz w:val="22"/>
          <w:szCs w:val="22"/>
        </w:rPr>
        <w:t xml:space="preserve"> government of the Hawaiian Kingdom reclaims its sovereignty over all property within the territorial jurisdiction of this kingdom by virtue of its special customary right to represent the Hawaiian State during an illegal and prolonged occupation by the United States of America.</w:t>
      </w:r>
    </w:p>
    <w:p w14:paraId="0CD257F6" w14:textId="77777777" w:rsidR="005C7B4D" w:rsidRPr="00D32DBB" w:rsidRDefault="005C7B4D" w:rsidP="005C7B4D">
      <w:pPr>
        <w:ind w:right="720"/>
        <w:rPr>
          <w:sz w:val="22"/>
          <w:szCs w:val="22"/>
        </w:rPr>
      </w:pPr>
    </w:p>
    <w:p w14:paraId="6C79AB1F" w14:textId="14B14227" w:rsidR="005C7B4D" w:rsidRPr="00D32DBB" w:rsidRDefault="005C7B4D" w:rsidP="0022058D">
      <w:pPr>
        <w:pStyle w:val="ListParagraph"/>
        <w:numPr>
          <w:ilvl w:val="0"/>
          <w:numId w:val="2"/>
        </w:numPr>
        <w:ind w:left="1080" w:right="720"/>
        <w:rPr>
          <w:sz w:val="22"/>
          <w:szCs w:val="22"/>
        </w:rPr>
      </w:pPr>
      <w:r w:rsidRPr="00D32DBB">
        <w:rPr>
          <w:sz w:val="22"/>
          <w:szCs w:val="22"/>
        </w:rPr>
        <w:t>As a result of Hawaiian law not being complied with since January 17, 1893, all titles to real estate within the territorial jurisdiction of this kingdom are invalid and void for want of a competent notary public and registrar for the Bureau of Conveyances (§1249, §1254, §1255, §1262, §1263, §1267, Civil Code). Remedy for these defects will take place in accordance with Hawaiian Kingdom law and the international law of occupation.</w:t>
      </w:r>
    </w:p>
    <w:p w14:paraId="26B6B31F" w14:textId="77777777" w:rsidR="00F37FB2" w:rsidRDefault="00F37FB2" w:rsidP="00366500"/>
    <w:p w14:paraId="49EFF02E" w14:textId="64F77D3D" w:rsidR="007076AF" w:rsidRPr="007076AF" w:rsidRDefault="003F711C" w:rsidP="007076AF">
      <w:r>
        <w:t xml:space="preserve">Since 1994, the State of </w:t>
      </w:r>
      <w:proofErr w:type="gramStart"/>
      <w:r>
        <w:t>Hawai‘</w:t>
      </w:r>
      <w:proofErr w:type="gramEnd"/>
      <w:r>
        <w:t>i courts have applied, whenever the issue of the Hawaiian Kingdom’s continued existence as a State</w:t>
      </w:r>
      <w:r w:rsidR="007076AF">
        <w:t xml:space="preserve"> arose in court proceedings</w:t>
      </w:r>
      <w:r>
        <w:t xml:space="preserve">, the </w:t>
      </w:r>
      <w:r w:rsidRPr="003F711C">
        <w:rPr>
          <w:i/>
          <w:iCs/>
        </w:rPr>
        <w:t>State of Hawai‘i v. Lorenzo</w:t>
      </w:r>
      <w:r>
        <w:t xml:space="preserve"> case</w:t>
      </w:r>
      <w:r w:rsidR="007076AF">
        <w:t xml:space="preserve"> at the Intermediate Court of Appeals (ICA)</w:t>
      </w:r>
      <w:r>
        <w:t xml:space="preserve">, which has come to be known as the </w:t>
      </w:r>
      <w:r w:rsidRPr="003F711C">
        <w:rPr>
          <w:i/>
          <w:iCs/>
        </w:rPr>
        <w:t>Lorenzo</w:t>
      </w:r>
      <w:r>
        <w:t xml:space="preserve"> doctrine in the federal courts.</w:t>
      </w:r>
      <w:r w:rsidR="007076AF">
        <w:t xml:space="preserve"> </w:t>
      </w:r>
      <w:r w:rsidR="007076AF" w:rsidRPr="007076AF">
        <w:t>For 28 years</w:t>
      </w:r>
      <w:r w:rsidR="00D32DBB">
        <w:t>,</w:t>
      </w:r>
      <w:r w:rsidR="007076AF" w:rsidRPr="007076AF">
        <w:t xml:space="preserve"> both the State of </w:t>
      </w:r>
      <w:proofErr w:type="gramStart"/>
      <w:r w:rsidR="007076AF" w:rsidRPr="007076AF">
        <w:t>Hawai‘</w:t>
      </w:r>
      <w:proofErr w:type="gramEnd"/>
      <w:r w:rsidR="007076AF" w:rsidRPr="007076AF">
        <w:t>i courts and the federal courts have been applying the </w:t>
      </w:r>
      <w:r w:rsidR="007076AF" w:rsidRPr="007076AF">
        <w:rPr>
          <w:i/>
          <w:iCs/>
        </w:rPr>
        <w:t>Lorenzo</w:t>
      </w:r>
      <w:r w:rsidR="007076AF" w:rsidRPr="007076AF">
        <w:t> doctrine wrong. Under international law, which the ICA</w:t>
      </w:r>
      <w:r w:rsidR="007076AF">
        <w:t xml:space="preserve"> </w:t>
      </w:r>
      <w:r w:rsidR="007076AF" w:rsidRPr="007076AF">
        <w:t xml:space="preserve">acknowledged may affect </w:t>
      </w:r>
      <w:r w:rsidR="007076AF">
        <w:t>its</w:t>
      </w:r>
      <w:r w:rsidR="007076AF" w:rsidRPr="007076AF">
        <w:t xml:space="preserve"> rationale of placing the burden on the defendant to prove the Hawaiian Kingdom “exists as a State,” shifts the burden on the party opposing the continued existence of the Hawaiian Kingdom that it “does not exist as a State.”</w:t>
      </w:r>
      <w:r w:rsidR="00843FED">
        <w:t xml:space="preserve"> </w:t>
      </w:r>
      <w:r w:rsidR="00251CD8">
        <w:t xml:space="preserve">In international arbitration proceedings at the Permanent Court of Arbitration from 1999-2001, </w:t>
      </w:r>
      <w:r w:rsidR="00251CD8" w:rsidRPr="00251CD8">
        <w:rPr>
          <w:i/>
          <w:iCs/>
        </w:rPr>
        <w:t>in Larsen v. Hawaiian Kingdom</w:t>
      </w:r>
      <w:r w:rsidR="00251CD8">
        <w:t>, PCA case no. 1999-01,</w:t>
      </w:r>
      <w:r w:rsidR="00251CD8">
        <w:rPr>
          <w:rStyle w:val="FootnoteReference"/>
        </w:rPr>
        <w:footnoteReference w:id="3"/>
      </w:r>
      <w:r w:rsidR="00251CD8">
        <w:t xml:space="preserve"> the PCA acknowledged the Hawaiian Kingdom continues to exist as a State and the Council of Regency as its government.</w:t>
      </w:r>
      <w:r w:rsidR="00251CD8">
        <w:rPr>
          <w:rStyle w:val="FootnoteReference"/>
        </w:rPr>
        <w:footnoteReference w:id="4"/>
      </w:r>
    </w:p>
    <w:p w14:paraId="3E7D84BD" w14:textId="14DDE603" w:rsidR="003F711C" w:rsidRDefault="003F711C" w:rsidP="00F37FB2"/>
    <w:p w14:paraId="4A026176" w14:textId="21130822" w:rsidR="00F37FB2" w:rsidRDefault="00F37FB2" w:rsidP="00F37FB2">
      <w:r w:rsidRPr="00BC7D55">
        <w:t xml:space="preserve">The </w:t>
      </w:r>
      <w:r w:rsidRPr="00BC7D55">
        <w:rPr>
          <w:i/>
          <w:iCs/>
        </w:rPr>
        <w:t>Lorenzo</w:t>
      </w:r>
      <w:r w:rsidRPr="00BC7D55">
        <w:t xml:space="preserve"> </w:t>
      </w:r>
      <w:r w:rsidR="00302EA4">
        <w:t>doctrine</w:t>
      </w:r>
      <w:r>
        <w:t xml:space="preserve">, as explained in the Royal Commission of Inquiry’s </w:t>
      </w:r>
      <w:r w:rsidRPr="00862EF1">
        <w:rPr>
          <w:i/>
          <w:iCs/>
        </w:rPr>
        <w:t>Preliminary Report—The Lorenzo principle on the Continuity of the Hawaiian Kingdom as a State</w:t>
      </w:r>
      <w:r>
        <w:t>,</w:t>
      </w:r>
      <w:r w:rsidRPr="00BC7D55">
        <w:t xml:space="preserve"> acknowledges the continued existence of the Hawaiian Kingdom as a State</w:t>
      </w:r>
      <w:r w:rsidR="00D32DBB">
        <w:t xml:space="preserve"> and its direct impact on title insurance</w:t>
      </w:r>
      <w:r w:rsidRPr="00BC7D55">
        <w:t>.</w:t>
      </w:r>
      <w:r>
        <w:t xml:space="preserve"> According to the Royal Commission of Inquiry:</w:t>
      </w:r>
    </w:p>
    <w:p w14:paraId="5861C45B" w14:textId="77777777" w:rsidR="00F37FB2" w:rsidRDefault="00F37FB2" w:rsidP="00F37FB2"/>
    <w:p w14:paraId="39B6C4C1" w14:textId="77777777" w:rsidR="00F37FB2" w:rsidRPr="00687E2F" w:rsidRDefault="00F37FB2" w:rsidP="00F37FB2">
      <w:pPr>
        <w:ind w:left="720" w:right="720"/>
        <w:jc w:val="both"/>
        <w:rPr>
          <w:rFonts w:cs="Times New Roman"/>
          <w:bCs/>
          <w:sz w:val="22"/>
          <w:szCs w:val="22"/>
        </w:rPr>
      </w:pPr>
      <w:r w:rsidRPr="00687E2F">
        <w:rPr>
          <w:rFonts w:cs="Times New Roman"/>
          <w:bCs/>
          <w:sz w:val="22"/>
          <w:szCs w:val="22"/>
        </w:rPr>
        <w:t xml:space="preserve">In a denial letter to a title insurance claimant, Michael J. Moss, Senior Claims Counsel for Chicago Title Insurance Company, specifically referenced the </w:t>
      </w:r>
      <w:r w:rsidRPr="00687E2F">
        <w:rPr>
          <w:rFonts w:cs="Times New Roman"/>
          <w:bCs/>
          <w:i/>
          <w:iCs/>
          <w:sz w:val="22"/>
          <w:szCs w:val="22"/>
        </w:rPr>
        <w:t>Lorenzo</w:t>
      </w:r>
      <w:r w:rsidRPr="00687E2F">
        <w:rPr>
          <w:rFonts w:cs="Times New Roman"/>
          <w:bCs/>
          <w:sz w:val="22"/>
          <w:szCs w:val="22"/>
        </w:rPr>
        <w:t xml:space="preserve"> principle applied in </w:t>
      </w:r>
      <w:r w:rsidRPr="00687E2F">
        <w:rPr>
          <w:rFonts w:cs="Times New Roman"/>
          <w:bCs/>
          <w:sz w:val="22"/>
          <w:szCs w:val="22"/>
        </w:rPr>
        <w:lastRenderedPageBreak/>
        <w:t xml:space="preserve">two State of </w:t>
      </w:r>
      <w:proofErr w:type="gramStart"/>
      <w:r w:rsidRPr="00687E2F">
        <w:rPr>
          <w:rFonts w:cs="Times New Roman"/>
          <w:bCs/>
          <w:sz w:val="22"/>
          <w:szCs w:val="22"/>
        </w:rPr>
        <w:t>Hawai‘</w:t>
      </w:r>
      <w:proofErr w:type="gramEnd"/>
      <w:r w:rsidRPr="00687E2F">
        <w:rPr>
          <w:rFonts w:cs="Times New Roman"/>
          <w:bCs/>
          <w:sz w:val="22"/>
          <w:szCs w:val="22"/>
        </w:rPr>
        <w:t xml:space="preserve">i court cases and one federal court case as a basis to decline the insurance claim under an owner’s title insurance policy in the amount of $178,000.00. Moss stated: </w:t>
      </w:r>
    </w:p>
    <w:p w14:paraId="33A6F6F5" w14:textId="77777777" w:rsidR="00F37FB2" w:rsidRDefault="00F37FB2" w:rsidP="00F37FB2">
      <w:pPr>
        <w:ind w:left="720" w:right="720"/>
        <w:jc w:val="both"/>
        <w:rPr>
          <w:rFonts w:cs="Times New Roman"/>
          <w:bCs/>
        </w:rPr>
      </w:pPr>
    </w:p>
    <w:p w14:paraId="275CDC7D" w14:textId="77777777" w:rsidR="00F37FB2" w:rsidRPr="00687E2F" w:rsidRDefault="00F37FB2" w:rsidP="00F37FB2">
      <w:pPr>
        <w:ind w:left="1440" w:right="1440"/>
        <w:jc w:val="both"/>
        <w:rPr>
          <w:rFonts w:cs="Times New Roman"/>
          <w:bCs/>
          <w:sz w:val="20"/>
          <w:szCs w:val="20"/>
        </w:rPr>
      </w:pPr>
      <w:r w:rsidRPr="00687E2F">
        <w:rPr>
          <w:rFonts w:cs="Times New Roman"/>
          <w:bCs/>
          <w:sz w:val="20"/>
          <w:szCs w:val="20"/>
        </w:rPr>
        <w:t xml:space="preserve">[T]he Hawaiian Courts have consistently found that the Kingdom of Hawai‘i is no longer recognized as a sovereign state by either the federal government or by the State of Hawai‘i. </w:t>
      </w:r>
      <w:r w:rsidRPr="00687E2F">
        <w:rPr>
          <w:rFonts w:cs="Times New Roman"/>
          <w:bCs/>
          <w:sz w:val="20"/>
          <w:szCs w:val="20"/>
          <w:u w:val="single"/>
        </w:rPr>
        <w:t>See</w:t>
      </w:r>
      <w:r w:rsidRPr="00687E2F">
        <w:rPr>
          <w:rFonts w:cs="Times New Roman"/>
          <w:bCs/>
          <w:sz w:val="20"/>
          <w:szCs w:val="20"/>
        </w:rPr>
        <w:t xml:space="preserve"> </w:t>
      </w:r>
      <w:r w:rsidRPr="00687E2F">
        <w:rPr>
          <w:rFonts w:cs="Times New Roman"/>
          <w:bCs/>
          <w:sz w:val="20"/>
          <w:szCs w:val="20"/>
          <w:u w:val="single"/>
        </w:rPr>
        <w:t>State v. Lorenzo</w:t>
      </w:r>
      <w:r w:rsidRPr="00687E2F">
        <w:rPr>
          <w:rFonts w:cs="Times New Roman"/>
          <w:bCs/>
          <w:sz w:val="20"/>
          <w:szCs w:val="20"/>
        </w:rPr>
        <w:t xml:space="preserve">, 77 Hawai‘i 219, 221, 883 P.2d 641, 643 (Haw.App.1994); accord </w:t>
      </w:r>
      <w:r w:rsidRPr="00687E2F">
        <w:rPr>
          <w:rFonts w:cs="Times New Roman"/>
          <w:bCs/>
          <w:sz w:val="20"/>
          <w:szCs w:val="20"/>
          <w:u w:val="single"/>
        </w:rPr>
        <w:t>State v. French</w:t>
      </w:r>
      <w:r w:rsidRPr="00687E2F">
        <w:rPr>
          <w:rFonts w:cs="Times New Roman"/>
          <w:bCs/>
          <w:sz w:val="20"/>
          <w:szCs w:val="20"/>
        </w:rPr>
        <w:t xml:space="preserve">, 77 Hawai‘i 222, 228, 883 P.2d 644, 649 (Haw.App.1994); </w:t>
      </w:r>
      <w:r w:rsidRPr="00687E2F">
        <w:rPr>
          <w:rFonts w:cs="Times New Roman"/>
          <w:bCs/>
          <w:sz w:val="20"/>
          <w:szCs w:val="20"/>
          <w:u w:val="single"/>
        </w:rPr>
        <w:t>Baker v. Stehua</w:t>
      </w:r>
      <w:r w:rsidRPr="00687E2F">
        <w:rPr>
          <w:rFonts w:cs="Times New Roman"/>
          <w:bCs/>
          <w:sz w:val="20"/>
          <w:szCs w:val="20"/>
        </w:rPr>
        <w:t>, CIV 09-00615 ACK-BMK, 2010 WL 3528987 (D. Haw. Sept. 8, 2010).</w:t>
      </w:r>
      <w:r w:rsidRPr="00687E2F">
        <w:rPr>
          <w:rStyle w:val="FootnoteReference"/>
          <w:rFonts w:cs="Times New Roman"/>
          <w:bCs/>
          <w:szCs w:val="20"/>
        </w:rPr>
        <w:footnoteReference w:id="5"/>
      </w:r>
    </w:p>
    <w:p w14:paraId="308365D4" w14:textId="77777777" w:rsidR="00F37FB2" w:rsidRPr="003E4226" w:rsidRDefault="00F37FB2" w:rsidP="00F37FB2">
      <w:pPr>
        <w:ind w:left="720" w:right="720"/>
        <w:jc w:val="both"/>
        <w:rPr>
          <w:rFonts w:cs="Times New Roman"/>
          <w:bCs/>
        </w:rPr>
      </w:pPr>
    </w:p>
    <w:p w14:paraId="3BE63541" w14:textId="471AA12B" w:rsidR="00F37FB2" w:rsidRPr="00302EA4" w:rsidRDefault="00F37FB2" w:rsidP="003F711C">
      <w:pPr>
        <w:ind w:left="720" w:right="720"/>
        <w:rPr>
          <w:sz w:val="22"/>
          <w:szCs w:val="22"/>
        </w:rPr>
      </w:pPr>
      <w:r w:rsidRPr="00302EA4">
        <w:rPr>
          <w:rFonts w:cs="Times New Roman"/>
          <w:bCs/>
          <w:sz w:val="22"/>
          <w:szCs w:val="22"/>
        </w:rPr>
        <w:t xml:space="preserve">Like the courts of the State of </w:t>
      </w:r>
      <w:proofErr w:type="gramStart"/>
      <w:r w:rsidRPr="00302EA4">
        <w:rPr>
          <w:rFonts w:cs="Times New Roman"/>
          <w:bCs/>
          <w:sz w:val="22"/>
          <w:szCs w:val="22"/>
        </w:rPr>
        <w:t>Hawai‘</w:t>
      </w:r>
      <w:proofErr w:type="gramEnd"/>
      <w:r w:rsidRPr="00302EA4">
        <w:rPr>
          <w:rFonts w:cs="Times New Roman"/>
          <w:bCs/>
          <w:sz w:val="22"/>
          <w:szCs w:val="22"/>
        </w:rPr>
        <w:t xml:space="preserve">i and the federal courts, the Senior Claims Counsel incorrectly applied the </w:t>
      </w:r>
      <w:r w:rsidRPr="00302EA4">
        <w:rPr>
          <w:rFonts w:cs="Times New Roman"/>
          <w:bCs/>
          <w:i/>
          <w:iCs/>
          <w:sz w:val="22"/>
          <w:szCs w:val="22"/>
        </w:rPr>
        <w:t>Lorenzo</w:t>
      </w:r>
      <w:r w:rsidRPr="00302EA4">
        <w:rPr>
          <w:rFonts w:cs="Times New Roman"/>
          <w:bCs/>
          <w:sz w:val="22"/>
          <w:szCs w:val="22"/>
        </w:rPr>
        <w:t xml:space="preserve"> </w:t>
      </w:r>
      <w:r w:rsidR="00302EA4" w:rsidRPr="00302EA4">
        <w:rPr>
          <w:rFonts w:cs="Times New Roman"/>
          <w:bCs/>
          <w:sz w:val="22"/>
          <w:szCs w:val="22"/>
        </w:rPr>
        <w:t>doctrine</w:t>
      </w:r>
      <w:r w:rsidRPr="00302EA4">
        <w:rPr>
          <w:rFonts w:cs="Times New Roman"/>
          <w:bCs/>
          <w:sz w:val="22"/>
          <w:szCs w:val="22"/>
        </w:rPr>
        <w:t>, which should have been in favor of the title insurance claimant. The title insurance claim was that the “[o]wner’s deed was not lawfully executed according to Hawaiian Kingdom law [because] the notaries public and the Bureau of Conveyance weren’t part of the Hawaii[an] Kingdom, that the documents in [the claimant’s] chain of title were not lawfully executed.”</w:t>
      </w:r>
      <w:r w:rsidRPr="00302EA4">
        <w:rPr>
          <w:rStyle w:val="FootnoteReference"/>
          <w:rFonts w:cs="Times New Roman"/>
          <w:bCs/>
          <w:sz w:val="22"/>
          <w:szCs w:val="22"/>
        </w:rPr>
        <w:footnoteReference w:id="6"/>
      </w:r>
      <w:r w:rsidRPr="00302EA4">
        <w:rPr>
          <w:rFonts w:cs="Times New Roman"/>
          <w:bCs/>
          <w:sz w:val="22"/>
          <w:szCs w:val="22"/>
        </w:rPr>
        <w:t xml:space="preserve"> </w:t>
      </w:r>
      <w:r w:rsidRPr="00302EA4">
        <w:rPr>
          <w:rFonts w:cs="Times New Roman"/>
          <w:bCs/>
          <w:sz w:val="22"/>
          <w:szCs w:val="22"/>
          <w:lang w:val="haw-US"/>
        </w:rPr>
        <w:t>These are</w:t>
      </w:r>
      <w:r w:rsidRPr="00302EA4">
        <w:rPr>
          <w:rFonts w:cs="Times New Roman"/>
          <w:bCs/>
          <w:sz w:val="22"/>
          <w:szCs w:val="22"/>
        </w:rPr>
        <w:t xml:space="preserve"> covered risk</w:t>
      </w:r>
      <w:r w:rsidRPr="00302EA4">
        <w:rPr>
          <w:rFonts w:cs="Times New Roman"/>
          <w:bCs/>
          <w:sz w:val="22"/>
          <w:szCs w:val="22"/>
          <w:lang w:val="haw-US"/>
        </w:rPr>
        <w:t>s</w:t>
      </w:r>
      <w:r w:rsidRPr="00302EA4">
        <w:rPr>
          <w:rFonts w:cs="Times New Roman"/>
          <w:bCs/>
          <w:sz w:val="22"/>
          <w:szCs w:val="22"/>
        </w:rPr>
        <w:t xml:space="preserve"> under the </w:t>
      </w:r>
      <w:r w:rsidRPr="00302EA4">
        <w:rPr>
          <w:rFonts w:cs="Times New Roman"/>
          <w:bCs/>
          <w:sz w:val="22"/>
          <w:szCs w:val="22"/>
          <w:lang w:val="haw-US"/>
        </w:rPr>
        <w:t xml:space="preserve">title insurance </w:t>
      </w:r>
      <w:r w:rsidRPr="00302EA4">
        <w:rPr>
          <w:rFonts w:cs="Times New Roman"/>
          <w:bCs/>
          <w:sz w:val="22"/>
          <w:szCs w:val="22"/>
        </w:rPr>
        <w:t xml:space="preserve">policy. Under the </w:t>
      </w:r>
      <w:r w:rsidRPr="00302EA4">
        <w:rPr>
          <w:rFonts w:cs="Times New Roman"/>
          <w:bCs/>
          <w:i/>
          <w:iCs/>
          <w:sz w:val="22"/>
          <w:szCs w:val="22"/>
        </w:rPr>
        <w:t>Lorenzo</w:t>
      </w:r>
      <w:r w:rsidRPr="00302EA4">
        <w:rPr>
          <w:rFonts w:cs="Times New Roman"/>
          <w:bCs/>
          <w:sz w:val="22"/>
          <w:szCs w:val="22"/>
        </w:rPr>
        <w:t xml:space="preserve"> </w:t>
      </w:r>
      <w:r w:rsidR="00302EA4" w:rsidRPr="00302EA4">
        <w:rPr>
          <w:rFonts w:cs="Times New Roman"/>
          <w:bCs/>
          <w:sz w:val="22"/>
          <w:szCs w:val="22"/>
        </w:rPr>
        <w:t>doctrine</w:t>
      </w:r>
      <w:r w:rsidRPr="00302EA4">
        <w:rPr>
          <w:rFonts w:cs="Times New Roman"/>
          <w:bCs/>
          <w:sz w:val="22"/>
          <w:szCs w:val="22"/>
          <w:lang w:val="haw-US"/>
        </w:rPr>
        <w:t>,</w:t>
      </w:r>
      <w:r w:rsidRPr="00302EA4">
        <w:rPr>
          <w:rFonts w:cs="Times New Roman"/>
          <w:bCs/>
          <w:sz w:val="22"/>
          <w:szCs w:val="22"/>
        </w:rPr>
        <w:t xml:space="preserve"> the State of </w:t>
      </w:r>
      <w:proofErr w:type="gramStart"/>
      <w:r w:rsidRPr="00302EA4">
        <w:rPr>
          <w:rFonts w:cs="Times New Roman"/>
          <w:bCs/>
          <w:sz w:val="22"/>
          <w:szCs w:val="22"/>
        </w:rPr>
        <w:t>Hawai‘</w:t>
      </w:r>
      <w:proofErr w:type="gramEnd"/>
      <w:r w:rsidRPr="00302EA4">
        <w:rPr>
          <w:rFonts w:cs="Times New Roman"/>
          <w:bCs/>
          <w:sz w:val="22"/>
          <w:szCs w:val="22"/>
        </w:rPr>
        <w:t xml:space="preserve">i is not a lawful entity, and, therefore, its notaries public </w:t>
      </w:r>
      <w:r w:rsidRPr="00302EA4">
        <w:rPr>
          <w:rFonts w:cs="Times New Roman"/>
          <w:bCs/>
          <w:sz w:val="22"/>
          <w:szCs w:val="22"/>
          <w:lang w:val="haw-US"/>
        </w:rPr>
        <w:t xml:space="preserve">and the Bureau of Conveyance </w:t>
      </w:r>
      <w:r w:rsidRPr="00302EA4">
        <w:rPr>
          <w:rFonts w:cs="Times New Roman"/>
          <w:bCs/>
          <w:sz w:val="22"/>
          <w:szCs w:val="22"/>
        </w:rPr>
        <w:t>are unlawful.</w:t>
      </w:r>
    </w:p>
    <w:p w14:paraId="77B2508A" w14:textId="49A688D5" w:rsidR="00A80058" w:rsidRDefault="00A80058" w:rsidP="002F5F1E"/>
    <w:p w14:paraId="3C312853" w14:textId="6A309D31" w:rsidR="00403CA7" w:rsidRDefault="0034608A" w:rsidP="00403CA7">
      <w:pPr>
        <w:spacing w:line="276" w:lineRule="auto"/>
        <w:jc w:val="both"/>
        <w:rPr>
          <w:rFonts w:cs="Times New Roman"/>
          <w:bCs/>
        </w:rPr>
      </w:pPr>
      <w:r>
        <w:t xml:space="preserve">According to the </w:t>
      </w:r>
      <w:r w:rsidRPr="0034608A">
        <w:rPr>
          <w:i/>
          <w:iCs/>
        </w:rPr>
        <w:t>Lorenzo</w:t>
      </w:r>
      <w:r>
        <w:t xml:space="preserve"> doctrine, the Senior Claims Counsel had the burden to provide evidence </w:t>
      </w:r>
      <w:r w:rsidR="00403CA7">
        <w:t xml:space="preserve">to the ensured </w:t>
      </w:r>
      <w:r>
        <w:t xml:space="preserve">that the </w:t>
      </w:r>
      <w:r w:rsidR="00403CA7">
        <w:t xml:space="preserve">Hawaiian Kingdom does not exist as a State and not merely cite three cases that applied the </w:t>
      </w:r>
      <w:r w:rsidR="00403CA7" w:rsidRPr="00403CA7">
        <w:rPr>
          <w:i/>
          <w:iCs/>
        </w:rPr>
        <w:t>Lorenzo</w:t>
      </w:r>
      <w:r w:rsidR="00403CA7">
        <w:t xml:space="preserve"> doctrine in error. Furthermore, when he stated “that the Kingdom of </w:t>
      </w:r>
      <w:proofErr w:type="gramStart"/>
      <w:r w:rsidR="00403CA7">
        <w:t>Hawai‘</w:t>
      </w:r>
      <w:proofErr w:type="gramEnd"/>
      <w:r w:rsidR="00403CA7">
        <w:t>i is no longer recognized as a sovereign state,” it runs counter to United States foreign relations law, which does not allow the United States to derecognize a State</w:t>
      </w:r>
      <w:r w:rsidR="00A34FAE">
        <w:t xml:space="preserve">, </w:t>
      </w:r>
      <w:r w:rsidR="00A34FAE" w:rsidRPr="00A34FAE">
        <w:rPr>
          <w:i/>
          <w:iCs/>
        </w:rPr>
        <w:t>i.e.</w:t>
      </w:r>
      <w:r w:rsidR="00A34FAE">
        <w:t xml:space="preserve"> Hawaiian Kingdom, it previously recognized and has treaties with.</w:t>
      </w:r>
      <w:r w:rsidR="00403CA7">
        <w:t xml:space="preserve"> </w:t>
      </w:r>
      <w:r w:rsidR="00403CA7" w:rsidRPr="00DD4F19">
        <w:rPr>
          <w:rFonts w:cs="Times New Roman"/>
          <w:bCs/>
        </w:rPr>
        <w:t xml:space="preserve">According to the </w:t>
      </w:r>
      <w:r w:rsidR="00403CA7" w:rsidRPr="00DD4F19">
        <w:rPr>
          <w:rFonts w:cs="Times New Roman"/>
          <w:bCs/>
          <w:i/>
          <w:iCs/>
        </w:rPr>
        <w:t>Restatement (Third) of the Foreign Relations Law of the United States</w:t>
      </w:r>
      <w:r w:rsidR="00403CA7" w:rsidRPr="00DD4F19">
        <w:rPr>
          <w:rFonts w:cs="Times New Roman"/>
          <w:bCs/>
        </w:rPr>
        <w:t>, §202, comment g:</w:t>
      </w:r>
    </w:p>
    <w:p w14:paraId="44E4CDF2" w14:textId="77777777" w:rsidR="00403CA7" w:rsidRPr="00DD4F19" w:rsidRDefault="00403CA7" w:rsidP="00403CA7">
      <w:pPr>
        <w:spacing w:line="276" w:lineRule="auto"/>
        <w:jc w:val="both"/>
        <w:rPr>
          <w:rFonts w:cs="Times New Roman"/>
          <w:bCs/>
        </w:rPr>
      </w:pPr>
    </w:p>
    <w:p w14:paraId="3CFE740D" w14:textId="18BD95EE" w:rsidR="0034608A" w:rsidRDefault="00403CA7" w:rsidP="00403CA7">
      <w:pPr>
        <w:ind w:left="720" w:right="720"/>
      </w:pPr>
      <w:r w:rsidRPr="00DD4F19">
        <w:rPr>
          <w:rFonts w:cs="Times New Roman"/>
          <w:bCs/>
          <w:i/>
          <w:iCs/>
          <w:sz w:val="22"/>
          <w:szCs w:val="22"/>
        </w:rPr>
        <w:t>Derecognition of a state</w:t>
      </w:r>
      <w:r w:rsidRPr="00DD4F19">
        <w:rPr>
          <w:rFonts w:cs="Times New Roman"/>
          <w:bCs/>
          <w:sz w:val="22"/>
          <w:szCs w:val="22"/>
        </w:rPr>
        <w:t>. The duty to treat a qualified entity as a state also implies that so long as the entity continues to meet those qualifications its statehood may not be “derecognized.” If the entity ceases to meet those requirements, it ceases to be a state and derecognition is not necessary. Ordinarily, that occurs when a state is incorporated into another state, as when Montenegro in 1919 became a part of the Kingdom of Serbs, Croats, and Slovenes (later Yugoslavia).</w:t>
      </w:r>
    </w:p>
    <w:p w14:paraId="6CD5DA61" w14:textId="77777777" w:rsidR="0034608A" w:rsidRDefault="0034608A" w:rsidP="0018134D"/>
    <w:p w14:paraId="0D001CC4" w14:textId="08B6EE05" w:rsidR="0018134D" w:rsidRDefault="0018134D" w:rsidP="0018134D">
      <w:r>
        <w:t xml:space="preserve">The </w:t>
      </w:r>
      <w:r w:rsidRPr="00FF369F">
        <w:rPr>
          <w:i/>
          <w:iCs/>
        </w:rPr>
        <w:t>Lorenzo</w:t>
      </w:r>
      <w:r>
        <w:t xml:space="preserve"> doctrine also renders the State of </w:t>
      </w:r>
      <w:proofErr w:type="gramStart"/>
      <w:r>
        <w:t>Hawai‘</w:t>
      </w:r>
      <w:proofErr w:type="gramEnd"/>
      <w:r>
        <w:t>i and its courts as being unlawful. As the Royal Commission of Inquiry stated:</w:t>
      </w:r>
    </w:p>
    <w:p w14:paraId="585C559B" w14:textId="77777777" w:rsidR="0018134D" w:rsidRDefault="0018134D" w:rsidP="0018134D"/>
    <w:p w14:paraId="694D034F" w14:textId="77777777" w:rsidR="0018134D" w:rsidRPr="00FF369F" w:rsidRDefault="0018134D" w:rsidP="0018134D">
      <w:pPr>
        <w:ind w:left="720" w:right="720"/>
        <w:rPr>
          <w:bCs/>
          <w:sz w:val="22"/>
          <w:szCs w:val="22"/>
        </w:rPr>
      </w:pPr>
      <w:r w:rsidRPr="00FF369F">
        <w:rPr>
          <w:bCs/>
          <w:sz w:val="22"/>
          <w:szCs w:val="22"/>
        </w:rPr>
        <w:t xml:space="preserve">A proper application of the </w:t>
      </w:r>
      <w:r w:rsidRPr="00FF369F">
        <w:rPr>
          <w:bCs/>
          <w:i/>
          <w:iCs/>
          <w:sz w:val="22"/>
          <w:szCs w:val="22"/>
        </w:rPr>
        <w:t>Lorenzo</w:t>
      </w:r>
      <w:r w:rsidRPr="00FF369F">
        <w:rPr>
          <w:bCs/>
          <w:sz w:val="22"/>
          <w:szCs w:val="22"/>
        </w:rPr>
        <w:t xml:space="preserve"> </w:t>
      </w:r>
      <w:r w:rsidRPr="00FF369F">
        <w:rPr>
          <w:sz w:val="22"/>
          <w:szCs w:val="22"/>
        </w:rPr>
        <w:t>doctrine</w:t>
      </w:r>
      <w:r w:rsidRPr="00FF369F">
        <w:rPr>
          <w:bCs/>
          <w:sz w:val="22"/>
          <w:szCs w:val="22"/>
        </w:rPr>
        <w:t xml:space="preserve"> also renders the entire State of </w:t>
      </w:r>
      <w:proofErr w:type="gramStart"/>
      <w:r w:rsidRPr="00FF369F">
        <w:rPr>
          <w:bCs/>
          <w:sz w:val="22"/>
          <w:szCs w:val="22"/>
        </w:rPr>
        <w:t>Hawai‘</w:t>
      </w:r>
      <w:proofErr w:type="gramEnd"/>
      <w:r w:rsidRPr="00FF369F">
        <w:rPr>
          <w:bCs/>
          <w:sz w:val="22"/>
          <w:szCs w:val="22"/>
        </w:rPr>
        <w:t xml:space="preserve">i and its Counties as unlawful under international law. As the </w:t>
      </w:r>
      <w:r w:rsidRPr="00FF369F">
        <w:rPr>
          <w:bCs/>
          <w:i/>
          <w:iCs/>
          <w:sz w:val="22"/>
          <w:szCs w:val="22"/>
        </w:rPr>
        <w:t>Lorenzo</w:t>
      </w:r>
      <w:r w:rsidRPr="00FF369F">
        <w:rPr>
          <w:bCs/>
          <w:sz w:val="22"/>
          <w:szCs w:val="22"/>
        </w:rPr>
        <w:t xml:space="preserve"> Court acknowledged, the “illegal overthrow leaves open the question whether the present governance system should be recognized.” If the </w:t>
      </w:r>
      <w:r w:rsidRPr="00FF369F">
        <w:rPr>
          <w:bCs/>
          <w:i/>
          <w:iCs/>
          <w:sz w:val="22"/>
          <w:szCs w:val="22"/>
        </w:rPr>
        <w:t>Lorenzo</w:t>
      </w:r>
      <w:r w:rsidRPr="00FF369F">
        <w:rPr>
          <w:bCs/>
          <w:sz w:val="22"/>
          <w:szCs w:val="22"/>
        </w:rPr>
        <w:t xml:space="preserve"> Court applied international law, it would have answered its own question in the negative as to “whether the present governance system should be recognized,” and that a “state has an obligation not to recognize or treat as a </w:t>
      </w:r>
      <w:r w:rsidRPr="00FF369F">
        <w:rPr>
          <w:bCs/>
          <w:sz w:val="22"/>
          <w:szCs w:val="22"/>
        </w:rPr>
        <w:lastRenderedPageBreak/>
        <w:t xml:space="preserve">state an entity that has attained the qualifications for statehood </w:t>
      </w:r>
      <w:proofErr w:type="gramStart"/>
      <w:r w:rsidRPr="00FF369F">
        <w:rPr>
          <w:bCs/>
          <w:sz w:val="22"/>
          <w:szCs w:val="22"/>
        </w:rPr>
        <w:t>as a result of</w:t>
      </w:r>
      <w:proofErr w:type="gramEnd"/>
      <w:r w:rsidRPr="00FF369F">
        <w:rPr>
          <w:bCs/>
          <w:sz w:val="22"/>
          <w:szCs w:val="22"/>
        </w:rPr>
        <w:t xml:space="preserve"> a threat or use of armed force.” In other words, the State of </w:t>
      </w:r>
      <w:proofErr w:type="gramStart"/>
      <w:r w:rsidRPr="00FF369F">
        <w:rPr>
          <w:bCs/>
          <w:sz w:val="22"/>
          <w:szCs w:val="22"/>
        </w:rPr>
        <w:t>Hawai‘</w:t>
      </w:r>
      <w:proofErr w:type="gramEnd"/>
      <w:r w:rsidRPr="00FF369F">
        <w:rPr>
          <w:bCs/>
          <w:sz w:val="22"/>
          <w:szCs w:val="22"/>
        </w:rPr>
        <w:t>i cannot be recognized as a State of the United States, which arose as a result of a threat of armed force by the United States against the Hawaiian Kingdom.</w:t>
      </w:r>
    </w:p>
    <w:p w14:paraId="4A84CC09" w14:textId="77777777" w:rsidR="0018134D" w:rsidRPr="00FF369F" w:rsidRDefault="0018134D" w:rsidP="0018134D">
      <w:pPr>
        <w:ind w:left="720" w:right="720"/>
        <w:rPr>
          <w:bCs/>
          <w:sz w:val="22"/>
          <w:szCs w:val="22"/>
        </w:rPr>
      </w:pPr>
    </w:p>
    <w:p w14:paraId="6394430B" w14:textId="77777777" w:rsidR="0018134D" w:rsidRPr="00FF369F" w:rsidRDefault="0018134D" w:rsidP="0018134D">
      <w:pPr>
        <w:ind w:left="720" w:right="720"/>
        <w:jc w:val="center"/>
        <w:rPr>
          <w:bCs/>
          <w:i/>
          <w:iCs/>
          <w:sz w:val="22"/>
          <w:szCs w:val="22"/>
        </w:rPr>
      </w:pPr>
      <w:r w:rsidRPr="00FF369F">
        <w:rPr>
          <w:i/>
          <w:iCs/>
          <w:sz w:val="22"/>
          <w:szCs w:val="22"/>
        </w:rPr>
        <w:t>Threat of Armed Force by the United States against the Hawaiian Kingdom</w:t>
      </w:r>
    </w:p>
    <w:p w14:paraId="49DCEBAA" w14:textId="77777777" w:rsidR="0018134D" w:rsidRPr="00FF369F" w:rsidRDefault="0018134D" w:rsidP="0018134D">
      <w:pPr>
        <w:ind w:left="720" w:right="720"/>
        <w:rPr>
          <w:bCs/>
          <w:sz w:val="22"/>
          <w:szCs w:val="22"/>
        </w:rPr>
      </w:pPr>
    </w:p>
    <w:p w14:paraId="3B49BD76" w14:textId="77777777" w:rsidR="0018134D" w:rsidRPr="00FF369F" w:rsidRDefault="0018134D" w:rsidP="0018134D">
      <w:pPr>
        <w:ind w:left="720" w:right="720"/>
        <w:rPr>
          <w:bCs/>
          <w:sz w:val="22"/>
          <w:szCs w:val="22"/>
        </w:rPr>
      </w:pPr>
      <w:r w:rsidRPr="00FF369F">
        <w:rPr>
          <w:bCs/>
          <w:sz w:val="22"/>
          <w:szCs w:val="22"/>
        </w:rPr>
        <w:t xml:space="preserve">In 1893, President Grover Cleveland concluded that the provisional government, which is a predecessor of the State of </w:t>
      </w:r>
      <w:proofErr w:type="gramStart"/>
      <w:r w:rsidRPr="00FF369F">
        <w:rPr>
          <w:bCs/>
          <w:sz w:val="22"/>
          <w:szCs w:val="22"/>
        </w:rPr>
        <w:t>Hawai‘</w:t>
      </w:r>
      <w:proofErr w:type="gramEnd"/>
      <w:r w:rsidRPr="00FF369F">
        <w:rPr>
          <w:bCs/>
          <w:sz w:val="22"/>
          <w:szCs w:val="22"/>
        </w:rPr>
        <w:t xml:space="preserve">i, “owes its existence to an armed invasion by the United States.” Secretary of State Walter Gresham stated, the “Government of Hawaii surrendered its authority under a </w:t>
      </w:r>
      <w:r w:rsidRPr="00FF369F">
        <w:rPr>
          <w:bCs/>
          <w:sz w:val="22"/>
          <w:szCs w:val="22"/>
          <w:u w:val="single"/>
        </w:rPr>
        <w:t>threat of war</w:t>
      </w:r>
      <w:r w:rsidRPr="00FF369F">
        <w:rPr>
          <w:bCs/>
          <w:sz w:val="22"/>
          <w:szCs w:val="22"/>
        </w:rPr>
        <w:t>, until such time only as the Government of the United States, upon the facts being presented to it, should reinstate the constitutional sovereign (emphasis added).”</w:t>
      </w:r>
    </w:p>
    <w:p w14:paraId="16F63681" w14:textId="77777777" w:rsidR="0018134D" w:rsidRPr="00FF369F" w:rsidRDefault="0018134D" w:rsidP="0018134D">
      <w:pPr>
        <w:ind w:left="720" w:right="720"/>
        <w:rPr>
          <w:bCs/>
          <w:sz w:val="22"/>
          <w:szCs w:val="22"/>
        </w:rPr>
      </w:pPr>
    </w:p>
    <w:p w14:paraId="442E26B7" w14:textId="7E95B625" w:rsidR="0018134D" w:rsidRDefault="0018134D" w:rsidP="0018134D">
      <w:pPr>
        <w:ind w:left="720" w:right="720"/>
      </w:pPr>
      <w:r w:rsidRPr="00FF369F">
        <w:rPr>
          <w:bCs/>
          <w:sz w:val="22"/>
          <w:szCs w:val="22"/>
        </w:rPr>
        <w:t xml:space="preserve">The President did not “reinstate the constitutional sovereign,” which allowed the insurgency to rename themselves from the provisional government to the so-called Republic of </w:t>
      </w:r>
      <w:proofErr w:type="gramStart"/>
      <w:r w:rsidRPr="00FF369F">
        <w:rPr>
          <w:bCs/>
          <w:sz w:val="22"/>
          <w:szCs w:val="22"/>
        </w:rPr>
        <w:t>Hawai‘</w:t>
      </w:r>
      <w:proofErr w:type="gramEnd"/>
      <w:r w:rsidRPr="00FF369F">
        <w:rPr>
          <w:bCs/>
          <w:sz w:val="22"/>
          <w:szCs w:val="22"/>
        </w:rPr>
        <w:t xml:space="preserve">i on 4 July 1894. The Congress renamed the Republic of </w:t>
      </w:r>
      <w:proofErr w:type="gramStart"/>
      <w:r w:rsidRPr="00FF369F">
        <w:rPr>
          <w:bCs/>
          <w:sz w:val="22"/>
          <w:szCs w:val="22"/>
        </w:rPr>
        <w:t>Hawai‘</w:t>
      </w:r>
      <w:proofErr w:type="gramEnd"/>
      <w:r w:rsidRPr="00FF369F">
        <w:rPr>
          <w:bCs/>
          <w:sz w:val="22"/>
          <w:szCs w:val="22"/>
        </w:rPr>
        <w:t xml:space="preserve">i to the Territory of Hawai‘i under </w:t>
      </w:r>
      <w:r w:rsidRPr="00FF369F">
        <w:rPr>
          <w:bCs/>
          <w:i/>
          <w:iCs/>
          <w:sz w:val="22"/>
          <w:szCs w:val="22"/>
        </w:rPr>
        <w:t>An</w:t>
      </w:r>
      <w:r w:rsidRPr="00FF369F">
        <w:rPr>
          <w:bCs/>
          <w:sz w:val="22"/>
          <w:szCs w:val="22"/>
        </w:rPr>
        <w:t xml:space="preserve"> </w:t>
      </w:r>
      <w:r w:rsidRPr="00FF369F">
        <w:rPr>
          <w:bCs/>
          <w:i/>
          <w:iCs/>
          <w:sz w:val="22"/>
          <w:szCs w:val="22"/>
        </w:rPr>
        <w:t>Act To provide a government for the Territory of Hawai‘i</w:t>
      </w:r>
      <w:r w:rsidRPr="00FF369F">
        <w:rPr>
          <w:bCs/>
          <w:sz w:val="22"/>
          <w:szCs w:val="22"/>
        </w:rPr>
        <w:t xml:space="preserve">, which states that the “‘laws of Hawaii,’ as used in this Act without qualifying words, shall mean the constitution and laws of the Republic of Hawaii.” The Congress later renamed the Territory of </w:t>
      </w:r>
      <w:proofErr w:type="gramStart"/>
      <w:r w:rsidRPr="00FF369F">
        <w:rPr>
          <w:bCs/>
          <w:sz w:val="22"/>
          <w:szCs w:val="22"/>
        </w:rPr>
        <w:t>Hawai‘</w:t>
      </w:r>
      <w:proofErr w:type="gramEnd"/>
      <w:r w:rsidRPr="00FF369F">
        <w:rPr>
          <w:bCs/>
          <w:sz w:val="22"/>
          <w:szCs w:val="22"/>
        </w:rPr>
        <w:t xml:space="preserve">i to the State of Hawai‘i under </w:t>
      </w:r>
      <w:r w:rsidRPr="00FF369F">
        <w:rPr>
          <w:bCs/>
          <w:i/>
          <w:iCs/>
          <w:sz w:val="22"/>
          <w:szCs w:val="22"/>
        </w:rPr>
        <w:t>An Act To provide for the admission of the State of Hawaii into the Union</w:t>
      </w:r>
      <w:r w:rsidRPr="00FF369F">
        <w:rPr>
          <w:bCs/>
          <w:sz w:val="22"/>
          <w:szCs w:val="22"/>
        </w:rPr>
        <w:t xml:space="preserve">. Therefore, all Courts of the provisional government, the Republic of </w:t>
      </w:r>
      <w:proofErr w:type="gramStart"/>
      <w:r w:rsidRPr="00FF369F">
        <w:rPr>
          <w:bCs/>
          <w:sz w:val="22"/>
          <w:szCs w:val="22"/>
        </w:rPr>
        <w:t>Hawai‘</w:t>
      </w:r>
      <w:proofErr w:type="gramEnd"/>
      <w:r w:rsidRPr="00FF369F">
        <w:rPr>
          <w:bCs/>
          <w:sz w:val="22"/>
          <w:szCs w:val="22"/>
        </w:rPr>
        <w:t xml:space="preserve">i, the Territory of Hawai‘i, the State of Hawai‘i, and the United States District Court for the District of Hawai‘i are unlawful pursuant to international law and the </w:t>
      </w:r>
      <w:r w:rsidRPr="00FF369F">
        <w:rPr>
          <w:bCs/>
          <w:i/>
          <w:iCs/>
          <w:sz w:val="22"/>
          <w:szCs w:val="22"/>
        </w:rPr>
        <w:t>Lorenzo</w:t>
      </w:r>
      <w:r w:rsidRPr="00FF369F">
        <w:rPr>
          <w:bCs/>
          <w:sz w:val="22"/>
          <w:szCs w:val="22"/>
        </w:rPr>
        <w:t xml:space="preserve"> </w:t>
      </w:r>
      <w:r w:rsidRPr="00FF369F">
        <w:rPr>
          <w:sz w:val="22"/>
          <w:szCs w:val="22"/>
        </w:rPr>
        <w:t>doctrine</w:t>
      </w:r>
      <w:r w:rsidRPr="00FF369F">
        <w:rPr>
          <w:bCs/>
          <w:sz w:val="22"/>
          <w:szCs w:val="22"/>
        </w:rPr>
        <w:t xml:space="preserve"> when international law is appropriately applied. Consequently, every judgment, order and decree that emanated from these Courts are </w:t>
      </w:r>
      <w:r w:rsidRPr="00FF369F">
        <w:rPr>
          <w:bCs/>
          <w:i/>
          <w:iCs/>
          <w:sz w:val="22"/>
          <w:szCs w:val="22"/>
        </w:rPr>
        <w:t>void ab initio</w:t>
      </w:r>
      <w:r w:rsidRPr="00FF369F">
        <w:rPr>
          <w:bCs/>
          <w:sz w:val="22"/>
          <w:szCs w:val="22"/>
        </w:rPr>
        <w:t>—having no legal effect from inception.</w:t>
      </w:r>
      <w:r>
        <w:rPr>
          <w:rStyle w:val="FootnoteReference"/>
          <w:bCs/>
          <w:szCs w:val="22"/>
        </w:rPr>
        <w:footnoteReference w:id="7"/>
      </w:r>
    </w:p>
    <w:p w14:paraId="64FE5B44" w14:textId="77777777" w:rsidR="0018134D" w:rsidRDefault="0018134D" w:rsidP="002F5F1E"/>
    <w:p w14:paraId="14DC3F0E" w14:textId="035A5D72" w:rsidR="00302EA4" w:rsidRDefault="003E25C0" w:rsidP="002F5F1E">
      <w:r>
        <w:t xml:space="preserve">According to the federal court in </w:t>
      </w:r>
      <w:r w:rsidRPr="003E25C0">
        <w:rPr>
          <w:i/>
          <w:iCs/>
        </w:rPr>
        <w:t>Davis v. Stewart Title Guaranty Co.</w:t>
      </w:r>
      <w:r>
        <w:t>, “In law, a title is either good or bad.”</w:t>
      </w:r>
      <w:r>
        <w:rPr>
          <w:rStyle w:val="FootnoteReference"/>
        </w:rPr>
        <w:footnoteReference w:id="8"/>
      </w:r>
      <w:r>
        <w:t xml:space="preserve"> </w:t>
      </w:r>
      <w:r w:rsidR="00A222DB">
        <w:t>Whether [</w:t>
      </w:r>
      <w:r w:rsidR="00A222DB" w:rsidRPr="00755BDA">
        <w:rPr>
          <w:i/>
          <w:iCs/>
        </w:rPr>
        <w:t xml:space="preserve">insert </w:t>
      </w:r>
      <w:r w:rsidR="00A222DB" w:rsidRPr="006B1439">
        <w:t>my</w:t>
      </w:r>
      <w:r w:rsidR="00A222DB" w:rsidRPr="00755BDA">
        <w:rPr>
          <w:i/>
          <w:iCs/>
        </w:rPr>
        <w:t xml:space="preserve"> or </w:t>
      </w:r>
      <w:r w:rsidR="00A222DB" w:rsidRPr="006B1439">
        <w:t>our</w:t>
      </w:r>
      <w:r w:rsidR="00A222DB">
        <w:t xml:space="preserve">] deed was valid, the Missouri </w:t>
      </w:r>
      <w:r w:rsidR="00D06035">
        <w:t>Supreme C</w:t>
      </w:r>
      <w:r w:rsidR="00A222DB">
        <w:t xml:space="preserve">ourt, in </w:t>
      </w:r>
      <w:r w:rsidR="00A222DB" w:rsidRPr="00A222DB">
        <w:rPr>
          <w:i/>
          <w:iCs/>
        </w:rPr>
        <w:t xml:space="preserve">Kent &amp; </w:t>
      </w:r>
      <w:proofErr w:type="spellStart"/>
      <w:r w:rsidR="00A222DB" w:rsidRPr="00A222DB">
        <w:rPr>
          <w:i/>
          <w:iCs/>
        </w:rPr>
        <w:t>Obear</w:t>
      </w:r>
      <w:proofErr w:type="spellEnd"/>
      <w:r w:rsidR="00A222DB" w:rsidRPr="00A222DB">
        <w:rPr>
          <w:i/>
          <w:iCs/>
        </w:rPr>
        <w:t xml:space="preserve"> v. Allen</w:t>
      </w:r>
      <w:r w:rsidR="00A222DB">
        <w:t>, stated, “the validity of the title arising, the question must be determined whether it is good or bad</w:t>
      </w:r>
      <w:r w:rsidR="00EB3E03">
        <w:t>. We cannot object to the title of the respondent that it is doubtful or unmarketable.”</w:t>
      </w:r>
      <w:r w:rsidR="00EB3E03">
        <w:rPr>
          <w:rStyle w:val="FootnoteReference"/>
        </w:rPr>
        <w:footnoteReference w:id="9"/>
      </w:r>
      <w:r w:rsidR="00D06035">
        <w:t xml:space="preserve"> </w:t>
      </w:r>
      <w:r w:rsidR="00984B07">
        <w:t>According to the owner’s policy, i</w:t>
      </w:r>
      <w:r w:rsidR="003F711C">
        <w:t>f your company is not able to remedy [</w:t>
      </w:r>
      <w:r w:rsidR="003F711C" w:rsidRPr="002F5F1E">
        <w:rPr>
          <w:i/>
          <w:iCs/>
        </w:rPr>
        <w:t xml:space="preserve">insert </w:t>
      </w:r>
      <w:r w:rsidR="003F711C">
        <w:t>my</w:t>
      </w:r>
      <w:r w:rsidR="003F711C" w:rsidRPr="006B1439">
        <w:t xml:space="preserve"> </w:t>
      </w:r>
      <w:r w:rsidR="003F711C" w:rsidRPr="002F5F1E">
        <w:rPr>
          <w:i/>
          <w:iCs/>
        </w:rPr>
        <w:t xml:space="preserve">or </w:t>
      </w:r>
      <w:r w:rsidR="003F711C">
        <w:t>our] defect in title, [</w:t>
      </w:r>
      <w:r w:rsidR="003F711C" w:rsidRPr="002F5F1E">
        <w:rPr>
          <w:i/>
          <w:iCs/>
        </w:rPr>
        <w:t xml:space="preserve">insert </w:t>
      </w:r>
      <w:r w:rsidR="003F711C" w:rsidRPr="006B1439">
        <w:t xml:space="preserve">I </w:t>
      </w:r>
      <w:r w:rsidR="003F711C" w:rsidRPr="002F5F1E">
        <w:rPr>
          <w:i/>
          <w:iCs/>
        </w:rPr>
        <w:t xml:space="preserve">or </w:t>
      </w:r>
      <w:r w:rsidR="003F711C" w:rsidRPr="006B1439">
        <w:t>we</w:t>
      </w:r>
      <w:r w:rsidR="003F711C">
        <w:t>] expect the company to pay or tender payment of the full amount of insurance covered in the policy within thirty days</w:t>
      </w:r>
      <w:r w:rsidR="00257C04">
        <w:t xml:space="preserve"> after you acknowledge receipt of </w:t>
      </w:r>
      <w:r w:rsidR="00257C04">
        <w:t>[</w:t>
      </w:r>
      <w:r w:rsidR="00257C04" w:rsidRPr="002F5F1E">
        <w:rPr>
          <w:i/>
          <w:iCs/>
        </w:rPr>
        <w:t xml:space="preserve">insert </w:t>
      </w:r>
      <w:r w:rsidR="00257C04">
        <w:t>my</w:t>
      </w:r>
      <w:r w:rsidR="00257C04" w:rsidRPr="006B1439">
        <w:t xml:space="preserve"> </w:t>
      </w:r>
      <w:r w:rsidR="00257C04" w:rsidRPr="002F5F1E">
        <w:rPr>
          <w:i/>
          <w:iCs/>
        </w:rPr>
        <w:t xml:space="preserve">or </w:t>
      </w:r>
      <w:r w:rsidR="00257C04">
        <w:t>our]</w:t>
      </w:r>
      <w:r w:rsidR="00257C04">
        <w:t xml:space="preserve"> claim letter</w:t>
      </w:r>
      <w:r w:rsidR="00A95484">
        <w:t>.</w:t>
      </w:r>
      <w:r w:rsidR="003F711C">
        <w:rPr>
          <w:rStyle w:val="FootnoteReference"/>
        </w:rPr>
        <w:footnoteReference w:id="10"/>
      </w:r>
      <w:r w:rsidR="003F711C">
        <w:t xml:space="preserve"> </w:t>
      </w:r>
    </w:p>
    <w:p w14:paraId="1E54D7D3" w14:textId="77777777" w:rsidR="00302EA4" w:rsidRDefault="00302EA4" w:rsidP="002F5F1E"/>
    <w:p w14:paraId="29F17399" w14:textId="714928FB" w:rsidR="002F5F1E" w:rsidRDefault="002F5F1E" w:rsidP="002F5F1E">
      <w:r>
        <w:t>Sincerely,</w:t>
      </w:r>
    </w:p>
    <w:p w14:paraId="1EB60E76" w14:textId="66A29912" w:rsidR="002F5F1E" w:rsidRDefault="002F5F1E" w:rsidP="002F5F1E"/>
    <w:p w14:paraId="7DEF996E" w14:textId="77777777" w:rsidR="004663C7" w:rsidRDefault="004663C7" w:rsidP="002F5F1E"/>
    <w:p w14:paraId="70274BEE" w14:textId="615C78DB" w:rsidR="002F5F1E" w:rsidRDefault="00F8658C" w:rsidP="002F5F1E">
      <w:r>
        <w:t>[</w:t>
      </w:r>
      <w:r w:rsidR="002F5F1E">
        <w:t>Name of Policy Holder</w:t>
      </w:r>
      <w:r>
        <w:t>]</w:t>
      </w:r>
    </w:p>
    <w:p w14:paraId="55A209B8" w14:textId="445BC70A" w:rsidR="004663C7" w:rsidRDefault="004663C7" w:rsidP="002F5F1E"/>
    <w:p w14:paraId="75F24BF6" w14:textId="07BD321E" w:rsidR="004663C7" w:rsidRPr="008B24F1" w:rsidRDefault="004663C7" w:rsidP="00CC045F"/>
    <w:sectPr w:rsidR="004663C7" w:rsidRPr="008B24F1" w:rsidSect="00665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67B2" w14:textId="77777777" w:rsidR="006F3DB6" w:rsidRDefault="006F3DB6" w:rsidP="006B1439">
      <w:r>
        <w:separator/>
      </w:r>
    </w:p>
  </w:endnote>
  <w:endnote w:type="continuationSeparator" w:id="0">
    <w:p w14:paraId="43ED3611" w14:textId="77777777" w:rsidR="006F3DB6" w:rsidRDefault="006F3DB6" w:rsidP="006B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EFCE" w14:textId="77777777" w:rsidR="006F3DB6" w:rsidRDefault="006F3DB6" w:rsidP="006B1439">
      <w:r>
        <w:separator/>
      </w:r>
    </w:p>
  </w:footnote>
  <w:footnote w:type="continuationSeparator" w:id="0">
    <w:p w14:paraId="0D9B2188" w14:textId="77777777" w:rsidR="006F3DB6" w:rsidRDefault="006F3DB6" w:rsidP="006B1439">
      <w:r>
        <w:continuationSeparator/>
      </w:r>
    </w:p>
  </w:footnote>
  <w:footnote w:id="1">
    <w:p w14:paraId="78EC5AFD" w14:textId="56FDCFE1" w:rsidR="006B1439" w:rsidRDefault="006B1439" w:rsidP="00C727A7">
      <w:pPr>
        <w:pStyle w:val="FootnoteText"/>
      </w:pPr>
      <w:r>
        <w:rPr>
          <w:rStyle w:val="FootnoteReference"/>
        </w:rPr>
        <w:footnoteRef/>
      </w:r>
      <w:r>
        <w:t xml:space="preserve"> </w:t>
      </w:r>
      <w:r w:rsidR="00F8658C">
        <w:t xml:space="preserve">David Keanu Sai, “Royal Commission of Inquiry,” </w:t>
      </w:r>
      <w:r w:rsidR="00F8658C" w:rsidRPr="00411CAE">
        <w:t xml:space="preserve">in David Keanu Sai, ed., </w:t>
      </w:r>
      <w:r w:rsidR="00F8658C" w:rsidRPr="00411CAE">
        <w:rPr>
          <w:i/>
          <w:iCs/>
        </w:rPr>
        <w:t>The Royal Commission of Inquiry: Investigating War Crimes and Human Rights Violations Committed in the Hawaiian Kingdom</w:t>
      </w:r>
      <w:r w:rsidR="00F8658C" w:rsidRPr="00411CAE">
        <w:t xml:space="preserve"> </w:t>
      </w:r>
      <w:r w:rsidR="00322CC1">
        <w:t>18-23</w:t>
      </w:r>
      <w:r w:rsidR="00F8658C" w:rsidRPr="00411CAE">
        <w:t xml:space="preserve"> (2020)</w:t>
      </w:r>
      <w:r w:rsidR="00F8658C" w:rsidRPr="00EB17C4">
        <w:t xml:space="preserve"> </w:t>
      </w:r>
      <w:r w:rsidR="00F8658C">
        <w:t>(</w:t>
      </w:r>
      <w:r w:rsidR="00F8658C" w:rsidRPr="00411CAE">
        <w:t xml:space="preserve">online at: </w:t>
      </w:r>
      <w:hyperlink r:id="rId1" w:history="1">
        <w:r w:rsidR="00F8658C" w:rsidRPr="00411CAE">
          <w:rPr>
            <w:rStyle w:val="Hyperlink"/>
            <w:szCs w:val="20"/>
          </w:rPr>
          <w:t>https://hawaiiankingdom.org/pdf/Hawaiian_Royal_Commission_of_Inquiry_(2020).pdf</w:t>
        </w:r>
      </w:hyperlink>
      <w:r w:rsidR="00F8658C">
        <w:rPr>
          <w:rStyle w:val="Hyperlink"/>
          <w:szCs w:val="20"/>
        </w:rPr>
        <w:t>)</w:t>
      </w:r>
      <w:r w:rsidR="00F8658C" w:rsidRPr="00411CAE">
        <w:t>.</w:t>
      </w:r>
    </w:p>
  </w:footnote>
  <w:footnote w:id="2">
    <w:p w14:paraId="3E38111C" w14:textId="3999A26B" w:rsidR="00A95484" w:rsidRDefault="00A95484" w:rsidP="00C727A7">
      <w:pPr>
        <w:pStyle w:val="FootnoteText"/>
      </w:pPr>
      <w:r>
        <w:rPr>
          <w:rStyle w:val="FootnoteReference"/>
        </w:rPr>
        <w:footnoteRef/>
      </w:r>
      <w:r>
        <w:t xml:space="preserve"> </w:t>
      </w:r>
      <w:r w:rsidRPr="00A95484">
        <w:t>Restatement (Third) of the Foreign Relations Law of the United States</w:t>
      </w:r>
      <w:r>
        <w:t>, §201 (1987).</w:t>
      </w:r>
    </w:p>
  </w:footnote>
  <w:footnote w:id="3">
    <w:p w14:paraId="0D169DA3" w14:textId="6AC12634" w:rsidR="00251CD8" w:rsidRDefault="00251CD8" w:rsidP="00C727A7">
      <w:pPr>
        <w:pStyle w:val="FootnoteText"/>
      </w:pPr>
      <w:r>
        <w:rPr>
          <w:rStyle w:val="FootnoteReference"/>
        </w:rPr>
        <w:footnoteRef/>
      </w:r>
      <w:r>
        <w:t xml:space="preserve"> </w:t>
      </w:r>
      <w:r w:rsidRPr="00251CD8">
        <w:rPr>
          <w:i/>
          <w:iCs/>
        </w:rPr>
        <w:t>Larsen v. Hawaiian Kingdom</w:t>
      </w:r>
      <w:r>
        <w:t>, PCA Case no. 1999-01 (</w:t>
      </w:r>
      <w:hyperlink r:id="rId2" w:history="1">
        <w:r w:rsidRPr="00783E96">
          <w:rPr>
            <w:rStyle w:val="Hyperlink"/>
          </w:rPr>
          <w:t>https://pca-cpa.org/en/cases/35/</w:t>
        </w:r>
      </w:hyperlink>
      <w:r>
        <w:t xml:space="preserve">). </w:t>
      </w:r>
    </w:p>
  </w:footnote>
  <w:footnote w:id="4">
    <w:p w14:paraId="48C6DF40" w14:textId="0BF86478" w:rsidR="00251CD8" w:rsidRDefault="00251CD8" w:rsidP="00C727A7">
      <w:pPr>
        <w:pStyle w:val="FootnoteText"/>
      </w:pPr>
      <w:r>
        <w:rPr>
          <w:rStyle w:val="FootnoteReference"/>
        </w:rPr>
        <w:footnoteRef/>
      </w:r>
      <w:r>
        <w:t xml:space="preserve"> Federico Lenzerini, </w:t>
      </w:r>
      <w:r w:rsidRPr="00251CD8">
        <w:rPr>
          <w:i/>
          <w:iCs/>
        </w:rPr>
        <w:t>Legal Opinion on the Authority of the Council of Regency of the Hawaiian Kingdom</w:t>
      </w:r>
      <w:r>
        <w:t xml:space="preserve"> (</w:t>
      </w:r>
      <w:r w:rsidR="003D32CC">
        <w:t>May 24, 2020) (</w:t>
      </w:r>
      <w:hyperlink r:id="rId3" w:history="1">
        <w:r w:rsidR="003D32CC" w:rsidRPr="00783E96">
          <w:rPr>
            <w:rStyle w:val="Hyperlink"/>
          </w:rPr>
          <w:t>https://hawaiiankingdom.org/pdf/[ECF55-2]_Declaration_of_Prof_Federico_Lenzerini_(Filed%202021-08-11).pdf</w:t>
        </w:r>
      </w:hyperlink>
      <w:r w:rsidR="003D32CC">
        <w:t xml:space="preserve">). </w:t>
      </w:r>
    </w:p>
  </w:footnote>
  <w:footnote w:id="5">
    <w:p w14:paraId="0995E425" w14:textId="77777777" w:rsidR="00F37FB2" w:rsidRDefault="00F37FB2" w:rsidP="00C727A7">
      <w:pPr>
        <w:pStyle w:val="FootnoteText"/>
      </w:pPr>
      <w:r>
        <w:rPr>
          <w:rStyle w:val="FootnoteReference"/>
        </w:rPr>
        <w:footnoteRef/>
      </w:r>
      <w:r>
        <w:t xml:space="preserve"> Chicago Title Insurance Company letter of denial to Kale and Dianne Gumapac (May 23, 2012) (online at: </w:t>
      </w:r>
      <w:hyperlink r:id="rId4" w:history="1">
        <w:r w:rsidRPr="00004085">
          <w:rPr>
            <w:rStyle w:val="Hyperlink"/>
          </w:rPr>
          <w:t>https://hawaiiankingdom.org/pdf/Gumapac-Chicago_Title_Denial_of_Claim_5-23-12.pdf</w:t>
        </w:r>
      </w:hyperlink>
      <w:r>
        <w:t xml:space="preserve">). </w:t>
      </w:r>
    </w:p>
  </w:footnote>
  <w:footnote w:id="6">
    <w:p w14:paraId="565E17A3" w14:textId="77777777" w:rsidR="00F37FB2" w:rsidRPr="00322BFB" w:rsidRDefault="00F37FB2" w:rsidP="00C727A7">
      <w:pPr>
        <w:pStyle w:val="FootnoteText"/>
        <w:rPr>
          <w:lang w:val="haw-US"/>
        </w:rPr>
      </w:pPr>
      <w:r>
        <w:rPr>
          <w:rStyle w:val="FootnoteReference"/>
        </w:rPr>
        <w:footnoteRef/>
      </w:r>
      <w:r>
        <w:t xml:space="preserve"> </w:t>
      </w:r>
      <w:r w:rsidRPr="00322BFB">
        <w:rPr>
          <w:i/>
          <w:iCs/>
          <w:lang w:val="haw-US"/>
        </w:rPr>
        <w:t>Id</w:t>
      </w:r>
      <w:r>
        <w:rPr>
          <w:lang w:val="haw-US"/>
        </w:rPr>
        <w:t>.</w:t>
      </w:r>
    </w:p>
  </w:footnote>
  <w:footnote w:id="7">
    <w:p w14:paraId="5079ADFD" w14:textId="47F2384D" w:rsidR="0018134D" w:rsidRDefault="0018134D" w:rsidP="00C727A7">
      <w:pPr>
        <w:pStyle w:val="FootnoteText"/>
      </w:pPr>
      <w:r>
        <w:rPr>
          <w:rStyle w:val="FootnoteReference"/>
        </w:rPr>
        <w:footnoteRef/>
      </w:r>
      <w:r>
        <w:t xml:space="preserve"> </w:t>
      </w:r>
      <w:r w:rsidRPr="00D0488D">
        <w:rPr>
          <w:i/>
          <w:iCs/>
        </w:rPr>
        <w:t>Id</w:t>
      </w:r>
      <w:r>
        <w:t>., 7-8.</w:t>
      </w:r>
    </w:p>
  </w:footnote>
  <w:footnote w:id="8">
    <w:p w14:paraId="013EEE81" w14:textId="77777777" w:rsidR="003E25C0" w:rsidRPr="003F711C" w:rsidRDefault="003E25C0" w:rsidP="003E25C0">
      <w:pPr>
        <w:pStyle w:val="FootnoteText"/>
      </w:pPr>
      <w:r>
        <w:rPr>
          <w:rStyle w:val="FootnoteReference"/>
        </w:rPr>
        <w:footnoteRef/>
      </w:r>
      <w:r>
        <w:t xml:space="preserve"> </w:t>
      </w:r>
      <w:r w:rsidRPr="003E25C0">
        <w:rPr>
          <w:i/>
          <w:iCs/>
        </w:rPr>
        <w:t>Davis v. Stewart Title Guaranty Co.</w:t>
      </w:r>
      <w:r>
        <w:t>, 726 S.W.2d 839, 845 (1987).</w:t>
      </w:r>
    </w:p>
  </w:footnote>
  <w:footnote w:id="9">
    <w:p w14:paraId="5C3B485A" w14:textId="09F29527" w:rsidR="00EB3E03" w:rsidRPr="00EB3E03" w:rsidRDefault="00EB3E03">
      <w:pPr>
        <w:pStyle w:val="FootnoteText"/>
      </w:pPr>
      <w:r>
        <w:rPr>
          <w:rStyle w:val="FootnoteReference"/>
        </w:rPr>
        <w:footnoteRef/>
      </w:r>
      <w:r>
        <w:t xml:space="preserve"> </w:t>
      </w:r>
      <w:r w:rsidRPr="00EB3E03">
        <w:rPr>
          <w:i/>
          <w:iCs/>
        </w:rPr>
        <w:t xml:space="preserve">Kent &amp; </w:t>
      </w:r>
      <w:proofErr w:type="spellStart"/>
      <w:r w:rsidRPr="00EB3E03">
        <w:rPr>
          <w:i/>
          <w:iCs/>
        </w:rPr>
        <w:t>Obear</w:t>
      </w:r>
      <w:proofErr w:type="spellEnd"/>
      <w:r w:rsidRPr="00EB3E03">
        <w:rPr>
          <w:i/>
          <w:iCs/>
        </w:rPr>
        <w:t xml:space="preserve"> v. Allen</w:t>
      </w:r>
      <w:r>
        <w:t>, 24 Mo. 98, 106 (1856).</w:t>
      </w:r>
    </w:p>
  </w:footnote>
  <w:footnote w:id="10">
    <w:p w14:paraId="18C506D4" w14:textId="2841C540" w:rsidR="003F711C" w:rsidRPr="003F711C" w:rsidRDefault="003F711C" w:rsidP="00C727A7">
      <w:pPr>
        <w:pStyle w:val="FootnoteText"/>
      </w:pPr>
      <w:r>
        <w:rPr>
          <w:rStyle w:val="FootnoteReference"/>
        </w:rPr>
        <w:footnoteRef/>
      </w:r>
      <w:r>
        <w:t xml:space="preserve"> </w:t>
      </w:r>
      <w:r w:rsidRPr="003E25C0">
        <w:rPr>
          <w:i/>
          <w:iCs/>
        </w:rPr>
        <w:t>Davis</w:t>
      </w:r>
      <w:r>
        <w:t>, 845.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EB"/>
    <w:multiLevelType w:val="hybridMultilevel"/>
    <w:tmpl w:val="826C0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A0302"/>
    <w:multiLevelType w:val="hybridMultilevel"/>
    <w:tmpl w:val="2BB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64594">
    <w:abstractNumId w:val="1"/>
  </w:num>
  <w:num w:numId="2" w16cid:durableId="68297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AE"/>
    <w:rsid w:val="000F6069"/>
    <w:rsid w:val="00106014"/>
    <w:rsid w:val="0018134D"/>
    <w:rsid w:val="0022058D"/>
    <w:rsid w:val="00221026"/>
    <w:rsid w:val="00251CD8"/>
    <w:rsid w:val="00257C04"/>
    <w:rsid w:val="0027699C"/>
    <w:rsid w:val="002B1976"/>
    <w:rsid w:val="002E1879"/>
    <w:rsid w:val="002F5F1E"/>
    <w:rsid w:val="00302EA4"/>
    <w:rsid w:val="00317BF3"/>
    <w:rsid w:val="00322CC1"/>
    <w:rsid w:val="003445A2"/>
    <w:rsid w:val="0034608A"/>
    <w:rsid w:val="00366500"/>
    <w:rsid w:val="003C285E"/>
    <w:rsid w:val="003D32CC"/>
    <w:rsid w:val="003E25C0"/>
    <w:rsid w:val="003F711C"/>
    <w:rsid w:val="00403CA7"/>
    <w:rsid w:val="004663C7"/>
    <w:rsid w:val="004D18E9"/>
    <w:rsid w:val="00563D62"/>
    <w:rsid w:val="00586F07"/>
    <w:rsid w:val="005B058A"/>
    <w:rsid w:val="005C7B4D"/>
    <w:rsid w:val="00614920"/>
    <w:rsid w:val="006164A4"/>
    <w:rsid w:val="00665015"/>
    <w:rsid w:val="006B1439"/>
    <w:rsid w:val="006F3DB6"/>
    <w:rsid w:val="007076AF"/>
    <w:rsid w:val="00730162"/>
    <w:rsid w:val="00755BDA"/>
    <w:rsid w:val="007B71D7"/>
    <w:rsid w:val="008419E2"/>
    <w:rsid w:val="00843FED"/>
    <w:rsid w:val="008515EC"/>
    <w:rsid w:val="00853E8A"/>
    <w:rsid w:val="008B24F1"/>
    <w:rsid w:val="008F3FF5"/>
    <w:rsid w:val="00911C82"/>
    <w:rsid w:val="00984B07"/>
    <w:rsid w:val="009B4F5F"/>
    <w:rsid w:val="00A222DB"/>
    <w:rsid w:val="00A33841"/>
    <w:rsid w:val="00A34FAE"/>
    <w:rsid w:val="00A80058"/>
    <w:rsid w:val="00A95484"/>
    <w:rsid w:val="00AF5F8A"/>
    <w:rsid w:val="00B37C9E"/>
    <w:rsid w:val="00B56E17"/>
    <w:rsid w:val="00BC6361"/>
    <w:rsid w:val="00BD1C53"/>
    <w:rsid w:val="00C4448B"/>
    <w:rsid w:val="00C727A7"/>
    <w:rsid w:val="00CC045F"/>
    <w:rsid w:val="00CC2417"/>
    <w:rsid w:val="00CD7B72"/>
    <w:rsid w:val="00D06035"/>
    <w:rsid w:val="00D32DBB"/>
    <w:rsid w:val="00D374B7"/>
    <w:rsid w:val="00DB2FAE"/>
    <w:rsid w:val="00DF2A8C"/>
    <w:rsid w:val="00DF6922"/>
    <w:rsid w:val="00EB3E03"/>
    <w:rsid w:val="00F06BB0"/>
    <w:rsid w:val="00F37FB2"/>
    <w:rsid w:val="00F8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B8B53"/>
  <w15:chartTrackingRefBased/>
  <w15:docId w15:val="{8B7AE076-B3B0-904B-8072-517A3A2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4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C2417"/>
    <w:rPr>
      <w:rFonts w:ascii="Times New Roman" w:hAnsi="Times New Roman"/>
      <w:sz w:val="20"/>
      <w:vertAlign w:val="superscript"/>
    </w:rPr>
  </w:style>
  <w:style w:type="paragraph" w:styleId="FootnoteText">
    <w:name w:val="footnote text"/>
    <w:basedOn w:val="Normal"/>
    <w:link w:val="FootnoteTextChar"/>
    <w:autoRedefine/>
    <w:rsid w:val="00C727A7"/>
    <w:rPr>
      <w:sz w:val="20"/>
    </w:rPr>
  </w:style>
  <w:style w:type="character" w:customStyle="1" w:styleId="FootnoteTextChar">
    <w:name w:val="Footnote Text Char"/>
    <w:basedOn w:val="DefaultParagraphFont"/>
    <w:link w:val="FootnoteText"/>
    <w:rsid w:val="00C727A7"/>
    <w:rPr>
      <w:sz w:val="20"/>
    </w:rPr>
  </w:style>
  <w:style w:type="paragraph" w:styleId="ListParagraph">
    <w:name w:val="List Paragraph"/>
    <w:basedOn w:val="Normal"/>
    <w:uiPriority w:val="34"/>
    <w:qFormat/>
    <w:rsid w:val="00614920"/>
    <w:pPr>
      <w:ind w:left="720"/>
      <w:contextualSpacing/>
    </w:pPr>
  </w:style>
  <w:style w:type="character" w:styleId="Hyperlink">
    <w:name w:val="Hyperlink"/>
    <w:basedOn w:val="DefaultParagraphFont"/>
    <w:uiPriority w:val="99"/>
    <w:unhideWhenUsed/>
    <w:rsid w:val="008B24F1"/>
    <w:rPr>
      <w:color w:val="0563C1" w:themeColor="hyperlink"/>
      <w:u w:val="single"/>
    </w:rPr>
  </w:style>
  <w:style w:type="character" w:styleId="UnresolvedMention">
    <w:name w:val="Unresolved Mention"/>
    <w:basedOn w:val="DefaultParagraphFont"/>
    <w:uiPriority w:val="99"/>
    <w:semiHidden/>
    <w:unhideWhenUsed/>
    <w:rsid w:val="008B24F1"/>
    <w:rPr>
      <w:color w:val="605E5C"/>
      <w:shd w:val="clear" w:color="auto" w:fill="E1DFDD"/>
    </w:rPr>
  </w:style>
  <w:style w:type="character" w:customStyle="1" w:styleId="Heading1Char">
    <w:name w:val="Heading 1 Char"/>
    <w:basedOn w:val="DefaultParagraphFont"/>
    <w:link w:val="Heading1"/>
    <w:uiPriority w:val="9"/>
    <w:rsid w:val="008B24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328">
      <w:bodyDiv w:val="1"/>
      <w:marLeft w:val="0"/>
      <w:marRight w:val="0"/>
      <w:marTop w:val="0"/>
      <w:marBottom w:val="0"/>
      <w:divBdr>
        <w:top w:val="none" w:sz="0" w:space="0" w:color="auto"/>
        <w:left w:val="none" w:sz="0" w:space="0" w:color="auto"/>
        <w:bottom w:val="none" w:sz="0" w:space="0" w:color="auto"/>
        <w:right w:val="none" w:sz="0" w:space="0" w:color="auto"/>
      </w:divBdr>
    </w:div>
    <w:div w:id="250968014">
      <w:bodyDiv w:val="1"/>
      <w:marLeft w:val="0"/>
      <w:marRight w:val="0"/>
      <w:marTop w:val="0"/>
      <w:marBottom w:val="0"/>
      <w:divBdr>
        <w:top w:val="none" w:sz="0" w:space="0" w:color="auto"/>
        <w:left w:val="none" w:sz="0" w:space="0" w:color="auto"/>
        <w:bottom w:val="none" w:sz="0" w:space="0" w:color="auto"/>
        <w:right w:val="none" w:sz="0" w:space="0" w:color="auto"/>
      </w:divBdr>
    </w:div>
    <w:div w:id="313723538">
      <w:bodyDiv w:val="1"/>
      <w:marLeft w:val="0"/>
      <w:marRight w:val="0"/>
      <w:marTop w:val="0"/>
      <w:marBottom w:val="0"/>
      <w:divBdr>
        <w:top w:val="none" w:sz="0" w:space="0" w:color="auto"/>
        <w:left w:val="none" w:sz="0" w:space="0" w:color="auto"/>
        <w:bottom w:val="none" w:sz="0" w:space="0" w:color="auto"/>
        <w:right w:val="none" w:sz="0" w:space="0" w:color="auto"/>
      </w:divBdr>
    </w:div>
    <w:div w:id="437070839">
      <w:bodyDiv w:val="1"/>
      <w:marLeft w:val="0"/>
      <w:marRight w:val="0"/>
      <w:marTop w:val="0"/>
      <w:marBottom w:val="0"/>
      <w:divBdr>
        <w:top w:val="none" w:sz="0" w:space="0" w:color="auto"/>
        <w:left w:val="none" w:sz="0" w:space="0" w:color="auto"/>
        <w:bottom w:val="none" w:sz="0" w:space="0" w:color="auto"/>
        <w:right w:val="none" w:sz="0" w:space="0" w:color="auto"/>
      </w:divBdr>
    </w:div>
    <w:div w:id="788471066">
      <w:bodyDiv w:val="1"/>
      <w:marLeft w:val="0"/>
      <w:marRight w:val="0"/>
      <w:marTop w:val="0"/>
      <w:marBottom w:val="0"/>
      <w:divBdr>
        <w:top w:val="none" w:sz="0" w:space="0" w:color="auto"/>
        <w:left w:val="none" w:sz="0" w:space="0" w:color="auto"/>
        <w:bottom w:val="none" w:sz="0" w:space="0" w:color="auto"/>
        <w:right w:val="none" w:sz="0" w:space="0" w:color="auto"/>
      </w:divBdr>
    </w:div>
    <w:div w:id="997222058">
      <w:bodyDiv w:val="1"/>
      <w:marLeft w:val="0"/>
      <w:marRight w:val="0"/>
      <w:marTop w:val="0"/>
      <w:marBottom w:val="0"/>
      <w:divBdr>
        <w:top w:val="none" w:sz="0" w:space="0" w:color="auto"/>
        <w:left w:val="none" w:sz="0" w:space="0" w:color="auto"/>
        <w:bottom w:val="none" w:sz="0" w:space="0" w:color="auto"/>
        <w:right w:val="none" w:sz="0" w:space="0" w:color="auto"/>
      </w:divBdr>
    </w:div>
    <w:div w:id="1033269237">
      <w:bodyDiv w:val="1"/>
      <w:marLeft w:val="0"/>
      <w:marRight w:val="0"/>
      <w:marTop w:val="0"/>
      <w:marBottom w:val="0"/>
      <w:divBdr>
        <w:top w:val="none" w:sz="0" w:space="0" w:color="auto"/>
        <w:left w:val="none" w:sz="0" w:space="0" w:color="auto"/>
        <w:bottom w:val="none" w:sz="0" w:space="0" w:color="auto"/>
        <w:right w:val="none" w:sz="0" w:space="0" w:color="auto"/>
      </w:divBdr>
    </w:div>
    <w:div w:id="1140195657">
      <w:bodyDiv w:val="1"/>
      <w:marLeft w:val="0"/>
      <w:marRight w:val="0"/>
      <w:marTop w:val="0"/>
      <w:marBottom w:val="0"/>
      <w:divBdr>
        <w:top w:val="none" w:sz="0" w:space="0" w:color="auto"/>
        <w:left w:val="none" w:sz="0" w:space="0" w:color="auto"/>
        <w:bottom w:val="none" w:sz="0" w:space="0" w:color="auto"/>
        <w:right w:val="none" w:sz="0" w:space="0" w:color="auto"/>
      </w:divBdr>
    </w:div>
    <w:div w:id="1158879733">
      <w:bodyDiv w:val="1"/>
      <w:marLeft w:val="0"/>
      <w:marRight w:val="0"/>
      <w:marTop w:val="0"/>
      <w:marBottom w:val="0"/>
      <w:divBdr>
        <w:top w:val="none" w:sz="0" w:space="0" w:color="auto"/>
        <w:left w:val="none" w:sz="0" w:space="0" w:color="auto"/>
        <w:bottom w:val="none" w:sz="0" w:space="0" w:color="auto"/>
        <w:right w:val="none" w:sz="0" w:space="0" w:color="auto"/>
      </w:divBdr>
    </w:div>
    <w:div w:id="1371420065">
      <w:bodyDiv w:val="1"/>
      <w:marLeft w:val="0"/>
      <w:marRight w:val="0"/>
      <w:marTop w:val="0"/>
      <w:marBottom w:val="0"/>
      <w:divBdr>
        <w:top w:val="none" w:sz="0" w:space="0" w:color="auto"/>
        <w:left w:val="none" w:sz="0" w:space="0" w:color="auto"/>
        <w:bottom w:val="none" w:sz="0" w:space="0" w:color="auto"/>
        <w:right w:val="none" w:sz="0" w:space="0" w:color="auto"/>
      </w:divBdr>
    </w:div>
    <w:div w:id="2010908265">
      <w:bodyDiv w:val="1"/>
      <w:marLeft w:val="0"/>
      <w:marRight w:val="0"/>
      <w:marTop w:val="0"/>
      <w:marBottom w:val="0"/>
      <w:divBdr>
        <w:top w:val="none" w:sz="0" w:space="0" w:color="auto"/>
        <w:left w:val="none" w:sz="0" w:space="0" w:color="auto"/>
        <w:bottom w:val="none" w:sz="0" w:space="0" w:color="auto"/>
        <w:right w:val="none" w:sz="0" w:space="0" w:color="auto"/>
      </w:divBdr>
    </w:div>
    <w:div w:id="21339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aiiankingdom.org/pdf/RCI_Supp_Report_Title_Insur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waiiankingdom.org/pdf/RCI_Preliminary_Report_Land_Titles.pdf" TargetMode="External"/><Relationship Id="rId12" Type="http://schemas.openxmlformats.org/officeDocument/2006/relationships/hyperlink" Target="https://hawaiiankingdom.org/constitutional-histor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waiiankingdom.org/pdf/Proc_Reclaiming_Sovereignty.pdf" TargetMode="External"/><Relationship Id="rId5" Type="http://schemas.openxmlformats.org/officeDocument/2006/relationships/footnotes" Target="footnotes.xml"/><Relationship Id="rId10" Type="http://schemas.openxmlformats.org/officeDocument/2006/relationships/hyperlink" Target="https://hawaiiankingdom.org/pdf/RCI_Preliminary_Report_Lorenzo_Doctrine.pdf" TargetMode="External"/><Relationship Id="rId4" Type="http://schemas.openxmlformats.org/officeDocument/2006/relationships/webSettings" Target="webSettings.xml"/><Relationship Id="rId9" Type="http://schemas.openxmlformats.org/officeDocument/2006/relationships/hyperlink" Target="https://hawaiiankingdom.org/pdf/RCI_Ltr_to_ALTA_(7.20.2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awaiiankingdom.org/pdf/%5bECF55-2%5d_Declaration_of_Prof_Federico_Lenzerini_(Filed%202021-08-11).pdf" TargetMode="External"/><Relationship Id="rId2" Type="http://schemas.openxmlformats.org/officeDocument/2006/relationships/hyperlink" Target="https://pca-cpa.org/en/cases/35/" TargetMode="External"/><Relationship Id="rId1" Type="http://schemas.openxmlformats.org/officeDocument/2006/relationships/hyperlink" Target="https://hawaiiankingdom.org/pdf/Hawaiian_Royal_Commission_of_Inquiry_(2020).pdf" TargetMode="External"/><Relationship Id="rId4" Type="http://schemas.openxmlformats.org/officeDocument/2006/relationships/hyperlink" Target="https://hawaiiankingdom.org/pdf/Gumapac-Chicago_Title_Denial_of_Claim_5-2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Keanu Sai</dc:creator>
  <cp:keywords/>
  <dc:description/>
  <cp:lastModifiedBy>David Keanu Sai</cp:lastModifiedBy>
  <cp:revision>24</cp:revision>
  <dcterms:created xsi:type="dcterms:W3CDTF">2022-04-17T20:10:00Z</dcterms:created>
  <dcterms:modified xsi:type="dcterms:W3CDTF">2022-06-30T19:38:00Z</dcterms:modified>
</cp:coreProperties>
</file>